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ED2787" w:rsidRPr="00B72150">
        <w:rPr>
          <w:rFonts w:cs="Arial"/>
          <w:sz w:val="24"/>
        </w:rPr>
        <w:t>7</w:t>
      </w:r>
      <w:r w:rsidR="008D2FD8">
        <w:rPr>
          <w:rFonts w:cs="Arial"/>
          <w:sz w:val="24"/>
        </w:rPr>
        <w:t>9</w:t>
      </w:r>
      <w:r w:rsidR="0099206E" w:rsidRPr="00B72150">
        <w:rPr>
          <w:rFonts w:cs="Arial"/>
          <w:i/>
          <w:sz w:val="24"/>
        </w:rPr>
        <w:tab/>
      </w:r>
      <w:r w:rsidR="00C62060" w:rsidRPr="00B72150">
        <w:rPr>
          <w:rFonts w:cs="Arial"/>
          <w:iCs/>
          <w:sz w:val="24"/>
        </w:rPr>
        <w:t>R4-</w:t>
      </w:r>
      <w:r w:rsidR="00DF5214">
        <w:rPr>
          <w:rFonts w:cs="Arial"/>
          <w:iCs/>
          <w:sz w:val="24"/>
        </w:rPr>
        <w:t>16</w:t>
      </w:r>
      <w:r w:rsidR="00385AF7">
        <w:rPr>
          <w:rFonts w:cs="Arial"/>
          <w:iCs/>
          <w:sz w:val="24"/>
        </w:rPr>
        <w:t>4351</w:t>
      </w:r>
    </w:p>
    <w:p w:rsidR="00DF5214" w:rsidRPr="008D2FD8" w:rsidRDefault="008D2FD8" w:rsidP="00DF5214">
      <w:pPr>
        <w:pStyle w:val="Header"/>
        <w:tabs>
          <w:tab w:val="right" w:pos="9781"/>
          <w:tab w:val="right" w:pos="13323"/>
        </w:tabs>
        <w:outlineLvl w:val="0"/>
        <w:rPr>
          <w:rFonts w:eastAsia="SimSun"/>
          <w:sz w:val="24"/>
          <w:szCs w:val="24"/>
          <w:lang w:eastAsia="zh-CN"/>
        </w:rPr>
      </w:pPr>
      <w:r w:rsidRPr="008D2FD8">
        <w:rPr>
          <w:rFonts w:eastAsia="SimSun" w:hint="eastAsia"/>
          <w:sz w:val="24"/>
          <w:szCs w:val="24"/>
          <w:lang w:eastAsia="zh-CN"/>
        </w:rPr>
        <w:t>Nanjing, China</w:t>
      </w:r>
      <w:r w:rsidRPr="008D2FD8">
        <w:rPr>
          <w:rFonts w:eastAsia="SimSun"/>
          <w:sz w:val="24"/>
          <w:szCs w:val="24"/>
          <w:lang w:val="pt-BR" w:eastAsia="zh-CN"/>
        </w:rPr>
        <w:t>,</w:t>
      </w:r>
      <w:r w:rsidRPr="008D2FD8">
        <w:rPr>
          <w:sz w:val="24"/>
          <w:szCs w:val="24"/>
          <w:lang w:val="pt-BR"/>
        </w:rPr>
        <w:t xml:space="preserve"> </w:t>
      </w:r>
      <w:r w:rsidRPr="008D2FD8">
        <w:rPr>
          <w:rFonts w:eastAsia="SimSun" w:hint="eastAsia"/>
          <w:sz w:val="24"/>
          <w:szCs w:val="24"/>
          <w:lang w:eastAsia="zh-CN"/>
        </w:rPr>
        <w:t>23</w:t>
      </w:r>
      <w:r w:rsidRPr="008D2FD8">
        <w:rPr>
          <w:rFonts w:eastAsia="SimSun"/>
          <w:sz w:val="24"/>
          <w:szCs w:val="24"/>
          <w:lang w:eastAsia="zh-CN"/>
        </w:rPr>
        <w:t xml:space="preserve"> </w:t>
      </w:r>
      <w:r w:rsidRPr="008D2FD8">
        <w:rPr>
          <w:rFonts w:eastAsia="SimSun" w:hint="eastAsia"/>
          <w:sz w:val="24"/>
          <w:szCs w:val="24"/>
          <w:lang w:eastAsia="zh-CN"/>
        </w:rPr>
        <w:t>- 27</w:t>
      </w:r>
      <w:r w:rsidRPr="008D2FD8">
        <w:rPr>
          <w:sz w:val="24"/>
          <w:szCs w:val="24"/>
        </w:rPr>
        <w:t xml:space="preserve"> </w:t>
      </w:r>
      <w:r w:rsidRPr="008D2FD8">
        <w:rPr>
          <w:rFonts w:eastAsia="SimSun" w:hint="eastAsia"/>
          <w:sz w:val="24"/>
          <w:szCs w:val="24"/>
          <w:lang w:eastAsia="zh-CN"/>
        </w:rPr>
        <w:t>May</w:t>
      </w:r>
      <w:r w:rsidRPr="008D2FD8">
        <w:rPr>
          <w:sz w:val="24"/>
          <w:szCs w:val="24"/>
        </w:rPr>
        <w:t>, 201</w:t>
      </w:r>
      <w:r w:rsidRPr="008D2FD8">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B72150"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574598">
        <w:rPr>
          <w:rFonts w:ascii="Arial" w:hAnsi="Arial" w:cs="Arial"/>
          <w:lang w:val="en-US"/>
        </w:rPr>
        <w:t xml:space="preserve">Considerations on </w:t>
      </w:r>
      <w:r w:rsidR="008D2FD8" w:rsidRPr="008D2FD8">
        <w:rPr>
          <w:rFonts w:ascii="Arial" w:hAnsi="Arial" w:cs="Arial"/>
          <w:lang w:val="en-US"/>
        </w:rPr>
        <w:t>NPRACH</w:t>
      </w:r>
      <w:r w:rsidR="004F701B">
        <w:rPr>
          <w:rFonts w:ascii="Arial" w:hAnsi="Arial" w:cs="Arial"/>
          <w:lang w:val="en-US"/>
        </w:rPr>
        <w:t xml:space="preserve"> performance</w:t>
      </w:r>
      <w:r w:rsidR="00574598">
        <w:rPr>
          <w:rFonts w:ascii="Arial" w:hAnsi="Arial" w:cs="Arial"/>
          <w:lang w:val="en-US"/>
        </w:rPr>
        <w:t xml:space="preserve"> requirements</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4B7373">
        <w:rPr>
          <w:rFonts w:ascii="Arial" w:hAnsi="Arial" w:cs="Arial"/>
          <w:lang w:val="en-US"/>
        </w:rPr>
        <w:t>6</w:t>
      </w:r>
      <w:r w:rsidR="00C843A0" w:rsidRPr="00B72150">
        <w:rPr>
          <w:rFonts w:ascii="Arial" w:hAnsi="Arial" w:cs="Arial"/>
          <w:lang w:val="en-US"/>
        </w:rPr>
        <w:t>.</w:t>
      </w:r>
      <w:r w:rsidR="004B7373">
        <w:rPr>
          <w:rFonts w:ascii="Arial" w:hAnsi="Arial" w:cs="Arial"/>
          <w:lang w:val="en-US"/>
        </w:rPr>
        <w:t>1</w:t>
      </w:r>
      <w:r w:rsidR="00C843A0" w:rsidRPr="00B72150">
        <w:rPr>
          <w:rFonts w:ascii="Arial" w:hAnsi="Arial" w:cs="Arial"/>
          <w:lang w:val="en-US"/>
        </w:rPr>
        <w:t>3</w:t>
      </w:r>
      <w:r w:rsidR="008D2FD8">
        <w:rPr>
          <w:rFonts w:ascii="Arial" w:hAnsi="Arial" w:cs="Arial"/>
          <w:lang w:val="en-US"/>
        </w:rPr>
        <w:t>.5.3</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Pr="00B72150"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8D2FD8" w:rsidRDefault="00043DC9" w:rsidP="007006D3">
      <w:pPr>
        <w:rPr>
          <w:lang w:val="en-US"/>
        </w:rPr>
      </w:pPr>
      <w:r>
        <w:rPr>
          <w:lang w:val="en-US"/>
        </w:rPr>
        <w:t>The design of NB-IoT channels has almost completed in RAN1/RAN2 [</w:t>
      </w:r>
      <w:r w:rsidR="00B5682A">
        <w:rPr>
          <w:lang w:val="en-US"/>
        </w:rPr>
        <w:t>1</w:t>
      </w:r>
      <w:r>
        <w:rPr>
          <w:lang w:val="en-US"/>
        </w:rPr>
        <w:t>]</w:t>
      </w:r>
      <w:r w:rsidR="00B5682A">
        <w:rPr>
          <w:lang w:val="en-US"/>
        </w:rPr>
        <w:t>[2][3]</w:t>
      </w:r>
      <w:r w:rsidR="007006D3">
        <w:rPr>
          <w:lang w:val="en-US"/>
        </w:rPr>
        <w:t>.  Major RAN4 core requirements are also almost completed; therefore, NB-IoT performance requirements shall be studied for specification.</w:t>
      </w:r>
      <w:r>
        <w:rPr>
          <w:lang w:val="en-US"/>
        </w:rPr>
        <w:t xml:space="preserve"> </w:t>
      </w:r>
    </w:p>
    <w:p w:rsidR="00043DC9" w:rsidRDefault="00043DC9" w:rsidP="007C7874">
      <w:pPr>
        <w:rPr>
          <w:lang w:val="en-US"/>
        </w:rPr>
      </w:pPr>
      <w:r>
        <w:rPr>
          <w:lang w:val="en-US"/>
        </w:rPr>
        <w:t>This contribution provides ini</w:t>
      </w:r>
      <w:r w:rsidR="007006D3">
        <w:rPr>
          <w:lang w:val="en-US"/>
        </w:rPr>
        <w:t>tial study on performance specification of NPRACH.  Performance criterion and simulation assumptions are proposed in the contribution.</w:t>
      </w: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Pr>
          <w:kern w:val="2"/>
          <w:lang w:val="en-US"/>
        </w:rPr>
        <w:t>Overview of NPRACH</w:t>
      </w:r>
    </w:p>
    <w:p w:rsidR="00043DC9" w:rsidRDefault="00043DC9" w:rsidP="00043DC9">
      <w:pPr>
        <w:rPr>
          <w:lang w:val="en-US"/>
        </w:rPr>
      </w:pPr>
      <w:r>
        <w:rPr>
          <w:lang w:val="en-US"/>
        </w:rPr>
        <w:t>As defined in RAN1 [</w:t>
      </w:r>
      <w:r w:rsidR="00B5682A">
        <w:rPr>
          <w:lang w:val="en-US"/>
        </w:rPr>
        <w:t>1</w:t>
      </w:r>
      <w:r>
        <w:rPr>
          <w:lang w:val="en-US"/>
        </w:rPr>
        <w:t>], NPRACH is a preamble based channel with single tone (3.75kHz).  The NPRACH symbol groups are frequency hopped.</w:t>
      </w:r>
      <w:r w:rsidR="00574598">
        <w:rPr>
          <w:lang w:val="en-US"/>
        </w:rPr>
        <w:t xml:space="preserve">  From [1], the introduction of NPRACH is presented here:</w:t>
      </w:r>
    </w:p>
    <w:p w:rsidR="00574598" w:rsidRPr="00574598" w:rsidRDefault="00574598" w:rsidP="00574598">
      <w:pPr>
        <w:rPr>
          <w:i/>
        </w:rPr>
      </w:pPr>
      <w:r w:rsidRPr="00574598">
        <w:rPr>
          <w:i/>
        </w:rPr>
        <w:t xml:space="preserve">The physical layer random access preamble is based on single-subcarrier frequency-hopping symbol groups. A symbol group is illustrated in Figure 10.1.6.1-1, consisting of a cyclic prefix of length </w:t>
      </w:r>
      <w:r w:rsidRPr="00574598">
        <w:rPr>
          <w:i/>
          <w:position w:val="-10"/>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5pt" o:ole="">
            <v:imagedata r:id="rId8" o:title=""/>
          </v:shape>
          <o:OLEObject Type="Embed" ProgID="Equation.3" ShapeID="_x0000_i1025" DrawAspect="Content" ObjectID="_1524642576" r:id="rId9"/>
        </w:object>
      </w:r>
      <w:r w:rsidRPr="00574598">
        <w:rPr>
          <w:i/>
        </w:rPr>
        <w:t xml:space="preserve"> and a sequence of 5 identical symbols with total length</w:t>
      </w:r>
      <w:r w:rsidRPr="00574598">
        <w:rPr>
          <w:i/>
          <w:position w:val="-12"/>
        </w:rPr>
        <w:object w:dxaOrig="440" w:dyaOrig="320">
          <v:shape id="_x0000_i1026" type="#_x0000_t75" style="width:22pt;height:16pt" o:ole="">
            <v:imagedata r:id="rId10" o:title=""/>
          </v:shape>
          <o:OLEObject Type="Embed" ProgID="Equation.3" ShapeID="_x0000_i1026" DrawAspect="Content" ObjectID="_1524642577" r:id="rId11"/>
        </w:object>
      </w:r>
      <w:r w:rsidRPr="00574598">
        <w:rPr>
          <w:i/>
        </w:rPr>
        <w:t>. The parameter values are listed in Table 10.1.6.1-1.</w:t>
      </w:r>
    </w:p>
    <w:p w:rsidR="00574598" w:rsidRPr="00574598" w:rsidRDefault="00574598" w:rsidP="00574598">
      <w:pPr>
        <w:pStyle w:val="TH"/>
        <w:rPr>
          <w:i/>
        </w:rPr>
      </w:pPr>
      <w:r w:rsidRPr="00574598">
        <w:rPr>
          <w:i/>
        </w:rPr>
        <w:object w:dxaOrig="6511" w:dyaOrig="1290">
          <v:shape id="_x0000_i1027" type="#_x0000_t75" style="width:217pt;height:43pt" o:ole="">
            <v:imagedata r:id="rId12" o:title=""/>
          </v:shape>
          <o:OLEObject Type="Embed" ProgID="Visio.Drawing.11" ShapeID="_x0000_i1027" DrawAspect="Content" ObjectID="_1524642578" r:id="rId13"/>
        </w:object>
      </w:r>
    </w:p>
    <w:p w:rsidR="00574598" w:rsidRPr="00574598" w:rsidRDefault="00574598" w:rsidP="00574598">
      <w:pPr>
        <w:pStyle w:val="TF"/>
        <w:rPr>
          <w:i/>
        </w:rPr>
      </w:pPr>
      <w:r w:rsidRPr="00574598">
        <w:rPr>
          <w:i/>
        </w:rPr>
        <w:t>Figure 10.1.6.1-1: Random access symbol group</w:t>
      </w:r>
    </w:p>
    <w:p w:rsidR="00574598" w:rsidRPr="00574598" w:rsidRDefault="00574598" w:rsidP="00574598">
      <w:pPr>
        <w:pStyle w:val="TH"/>
        <w:rPr>
          <w:i/>
        </w:rPr>
      </w:pPr>
      <w:r w:rsidRPr="00574598">
        <w:rPr>
          <w:i/>
        </w:rPr>
        <w:t>Table 10.6.1.1-1: 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840"/>
        <w:gridCol w:w="1032"/>
      </w:tblGrid>
      <w:tr w:rsidR="00574598" w:rsidRPr="00574598" w:rsidTr="00D51111">
        <w:trPr>
          <w:cantSplit/>
          <w:jc w:val="center"/>
        </w:trPr>
        <w:tc>
          <w:tcPr>
            <w:tcW w:w="0" w:type="auto"/>
            <w:shd w:val="clear" w:color="auto" w:fill="E0E0E0"/>
            <w:vAlign w:val="center"/>
          </w:tcPr>
          <w:p w:rsidR="00574598" w:rsidRPr="00574598" w:rsidRDefault="00574598" w:rsidP="00D51111">
            <w:pPr>
              <w:pStyle w:val="TAH"/>
              <w:rPr>
                <w:i/>
              </w:rPr>
            </w:pPr>
            <w:r w:rsidRPr="00574598">
              <w:rPr>
                <w:i/>
              </w:rPr>
              <w:t>Preamble format</w:t>
            </w:r>
          </w:p>
        </w:tc>
        <w:tc>
          <w:tcPr>
            <w:tcW w:w="0" w:type="auto"/>
            <w:shd w:val="clear" w:color="auto" w:fill="E0E0E0"/>
            <w:vAlign w:val="center"/>
          </w:tcPr>
          <w:p w:rsidR="00574598" w:rsidRPr="00574598" w:rsidRDefault="00574598" w:rsidP="00D51111">
            <w:pPr>
              <w:pStyle w:val="TAH"/>
              <w:rPr>
                <w:i/>
              </w:rPr>
            </w:pPr>
            <w:r w:rsidRPr="00574598">
              <w:rPr>
                <w:i/>
                <w:position w:val="-10"/>
              </w:rPr>
              <w:object w:dxaOrig="340" w:dyaOrig="300">
                <v:shape id="_x0000_i1028" type="#_x0000_t75" style="width:17pt;height:15pt" o:ole="">
                  <v:imagedata r:id="rId8" o:title=""/>
                </v:shape>
                <o:OLEObject Type="Embed" ProgID="Equation.3" ShapeID="_x0000_i1028" DrawAspect="Content" ObjectID="_1524642579" r:id="rId14"/>
              </w:object>
            </w:r>
          </w:p>
        </w:tc>
        <w:tc>
          <w:tcPr>
            <w:tcW w:w="0" w:type="auto"/>
            <w:shd w:val="clear" w:color="auto" w:fill="E0E0E0"/>
            <w:vAlign w:val="center"/>
          </w:tcPr>
          <w:p w:rsidR="00574598" w:rsidRPr="00574598" w:rsidRDefault="00574598" w:rsidP="00D51111">
            <w:pPr>
              <w:pStyle w:val="TAH"/>
              <w:rPr>
                <w:i/>
              </w:rPr>
            </w:pPr>
            <w:r w:rsidRPr="00574598">
              <w:rPr>
                <w:i/>
                <w:position w:val="-12"/>
              </w:rPr>
              <w:object w:dxaOrig="440" w:dyaOrig="320">
                <v:shape id="_x0000_i1029" type="#_x0000_t75" style="width:22pt;height:16pt" o:ole="">
                  <v:imagedata r:id="rId10" o:title=""/>
                </v:shape>
                <o:OLEObject Type="Embed" ProgID="Equation.3" ShapeID="_x0000_i1029" DrawAspect="Content" ObjectID="_1524642580" r:id="rId15"/>
              </w:object>
            </w:r>
          </w:p>
        </w:tc>
      </w:tr>
      <w:tr w:rsidR="00574598" w:rsidRPr="00574598" w:rsidTr="00D51111">
        <w:trPr>
          <w:cantSplit/>
          <w:jc w:val="center"/>
        </w:trPr>
        <w:tc>
          <w:tcPr>
            <w:tcW w:w="0" w:type="auto"/>
            <w:shd w:val="clear" w:color="auto" w:fill="auto"/>
            <w:vAlign w:val="center"/>
          </w:tcPr>
          <w:p w:rsidR="00574598" w:rsidRPr="00574598" w:rsidRDefault="00574598" w:rsidP="00D51111">
            <w:pPr>
              <w:pStyle w:val="TAC"/>
              <w:rPr>
                <w:i/>
              </w:rPr>
            </w:pPr>
            <w:r w:rsidRPr="00574598">
              <w:rPr>
                <w:i/>
              </w:rPr>
              <w:t>0</w:t>
            </w:r>
          </w:p>
        </w:tc>
        <w:tc>
          <w:tcPr>
            <w:tcW w:w="0" w:type="auto"/>
            <w:shd w:val="clear" w:color="auto" w:fill="auto"/>
            <w:vAlign w:val="center"/>
          </w:tcPr>
          <w:p w:rsidR="00574598" w:rsidRPr="00574598" w:rsidRDefault="00574598" w:rsidP="00D51111">
            <w:pPr>
              <w:pStyle w:val="TAR"/>
              <w:rPr>
                <w:i/>
              </w:rPr>
            </w:pPr>
            <w:r w:rsidRPr="00574598">
              <w:rPr>
                <w:i/>
                <w:position w:val="-10"/>
              </w:rPr>
              <w:object w:dxaOrig="620" w:dyaOrig="300">
                <v:shape id="_x0000_i1030" type="#_x0000_t75" style="width:31pt;height:15pt" o:ole="">
                  <v:imagedata r:id="rId16" o:title=""/>
                </v:shape>
                <o:OLEObject Type="Embed" ProgID="Equation.3" ShapeID="_x0000_i1030" DrawAspect="Content" ObjectID="_1524642581" r:id="rId17"/>
              </w:object>
            </w:r>
          </w:p>
        </w:tc>
        <w:tc>
          <w:tcPr>
            <w:tcW w:w="0" w:type="auto"/>
            <w:shd w:val="clear" w:color="auto" w:fill="auto"/>
            <w:vAlign w:val="center"/>
          </w:tcPr>
          <w:p w:rsidR="00574598" w:rsidRPr="00574598" w:rsidRDefault="00574598" w:rsidP="00D51111">
            <w:pPr>
              <w:pStyle w:val="TAR"/>
              <w:rPr>
                <w:i/>
              </w:rPr>
            </w:pPr>
            <w:r w:rsidRPr="00574598">
              <w:rPr>
                <w:i/>
                <w:position w:val="-10"/>
              </w:rPr>
              <w:object w:dxaOrig="820" w:dyaOrig="300">
                <v:shape id="_x0000_i1031" type="#_x0000_t75" style="width:41pt;height:15pt" o:ole="">
                  <v:imagedata r:id="rId18" o:title=""/>
                </v:shape>
                <o:OLEObject Type="Embed" ProgID="Equation.3" ShapeID="_x0000_i1031" DrawAspect="Content" ObjectID="_1524642582" r:id="rId19"/>
              </w:object>
            </w:r>
          </w:p>
        </w:tc>
      </w:tr>
      <w:tr w:rsidR="00574598" w:rsidRPr="00574598" w:rsidTr="00D51111">
        <w:trPr>
          <w:cantSplit/>
          <w:trHeight w:val="264"/>
          <w:jc w:val="center"/>
        </w:trPr>
        <w:tc>
          <w:tcPr>
            <w:tcW w:w="0" w:type="auto"/>
            <w:shd w:val="clear" w:color="auto" w:fill="auto"/>
            <w:vAlign w:val="center"/>
          </w:tcPr>
          <w:p w:rsidR="00574598" w:rsidRPr="00574598" w:rsidRDefault="00574598" w:rsidP="00D51111">
            <w:pPr>
              <w:pStyle w:val="TAC"/>
              <w:rPr>
                <w:i/>
              </w:rPr>
            </w:pPr>
            <w:r w:rsidRPr="00574598">
              <w:rPr>
                <w:i/>
              </w:rPr>
              <w:t>1</w:t>
            </w:r>
          </w:p>
        </w:tc>
        <w:tc>
          <w:tcPr>
            <w:tcW w:w="0" w:type="auto"/>
            <w:shd w:val="clear" w:color="auto" w:fill="auto"/>
            <w:vAlign w:val="center"/>
          </w:tcPr>
          <w:p w:rsidR="00574598" w:rsidRPr="00574598" w:rsidRDefault="00574598" w:rsidP="00D51111">
            <w:pPr>
              <w:pStyle w:val="TAR"/>
              <w:rPr>
                <w:i/>
              </w:rPr>
            </w:pPr>
            <w:r w:rsidRPr="00574598">
              <w:rPr>
                <w:i/>
                <w:position w:val="-10"/>
              </w:rPr>
              <w:object w:dxaOrig="620" w:dyaOrig="300">
                <v:shape id="_x0000_i1032" type="#_x0000_t75" style="width:31pt;height:15pt" o:ole="">
                  <v:imagedata r:id="rId20" o:title=""/>
                </v:shape>
                <o:OLEObject Type="Embed" ProgID="Equation.3" ShapeID="_x0000_i1032" DrawAspect="Content" ObjectID="_1524642583" r:id="rId21"/>
              </w:object>
            </w:r>
          </w:p>
        </w:tc>
        <w:tc>
          <w:tcPr>
            <w:tcW w:w="0" w:type="auto"/>
            <w:shd w:val="clear" w:color="auto" w:fill="auto"/>
            <w:vAlign w:val="center"/>
          </w:tcPr>
          <w:p w:rsidR="00574598" w:rsidRPr="00574598" w:rsidRDefault="00574598" w:rsidP="00D51111">
            <w:pPr>
              <w:pStyle w:val="TAR"/>
              <w:rPr>
                <w:i/>
              </w:rPr>
            </w:pPr>
            <w:r w:rsidRPr="00574598">
              <w:rPr>
                <w:i/>
                <w:position w:val="-10"/>
              </w:rPr>
              <w:object w:dxaOrig="820" w:dyaOrig="300">
                <v:shape id="_x0000_i1033" type="#_x0000_t75" style="width:41pt;height:15pt" o:ole="">
                  <v:imagedata r:id="rId22" o:title=""/>
                </v:shape>
                <o:OLEObject Type="Embed" ProgID="Equation.3" ShapeID="_x0000_i1033" DrawAspect="Content" ObjectID="_1524642584" r:id="rId23"/>
              </w:object>
            </w:r>
          </w:p>
        </w:tc>
      </w:tr>
    </w:tbl>
    <w:p w:rsidR="00574598" w:rsidRPr="00574598" w:rsidRDefault="00574598" w:rsidP="00574598">
      <w:pPr>
        <w:tabs>
          <w:tab w:val="left" w:pos="3504"/>
        </w:tabs>
        <w:rPr>
          <w:i/>
          <w:lang w:eastAsia="zh-CN"/>
        </w:rPr>
      </w:pPr>
    </w:p>
    <w:p w:rsidR="00574598" w:rsidRDefault="00574598" w:rsidP="00574598">
      <w:r>
        <w:t>Note that two CP lengths are supported for NPRACH: the CP length of PF0 is 66</w:t>
      </w:r>
      <w:r w:rsidR="00C56CCD">
        <w:t>.</w:t>
      </w:r>
      <w:r>
        <w:t xml:space="preserve">7us; and the CP length of PF1 is </w:t>
      </w:r>
      <w:r w:rsidR="00C56CCD">
        <w:t>266.7us.</w:t>
      </w:r>
    </w:p>
    <w:p w:rsidR="00574598" w:rsidRDefault="00C56CCD" w:rsidP="00043DC9">
      <w:pPr>
        <w:rPr>
          <w:lang w:val="en-US"/>
        </w:rPr>
      </w:pPr>
      <w:r>
        <w:rPr>
          <w:lang w:val="en-US"/>
        </w:rPr>
        <w:t>One NPRACH configuration contains the following parameters [1]:</w:t>
      </w:r>
    </w:p>
    <w:p w:rsidR="00C56CCD" w:rsidRPr="00C56CCD" w:rsidRDefault="00C56CCD" w:rsidP="00C56CCD">
      <w:pPr>
        <w:pStyle w:val="B1"/>
        <w:rPr>
          <w:i/>
          <w:iCs/>
        </w:rPr>
      </w:pPr>
      <w:r w:rsidRPr="00C56CCD">
        <w:rPr>
          <w:i/>
        </w:rPr>
        <w:t>-</w:t>
      </w:r>
      <w:r w:rsidRPr="00C56CCD">
        <w:rPr>
          <w:i/>
        </w:rPr>
        <w:tab/>
        <w:t>NPRACH resource periodicity</w:t>
      </w:r>
      <w:r w:rsidRPr="00C56CCD">
        <w:rPr>
          <w:rFonts w:hint="eastAsia"/>
          <w:i/>
          <w:iCs/>
          <w:lang w:eastAsia="zh-CN"/>
        </w:rPr>
        <w:t xml:space="preserve"> </w:t>
      </w:r>
      <w:r w:rsidRPr="00C56CCD">
        <w:rPr>
          <w:i/>
          <w:position w:val="-14"/>
        </w:rPr>
        <w:object w:dxaOrig="840" w:dyaOrig="380">
          <v:shape id="_x0000_i1034" type="#_x0000_t75" style="width:42pt;height:19pt" o:ole="">
            <v:imagedata r:id="rId24" o:title=""/>
          </v:shape>
          <o:OLEObject Type="Embed" ProgID="Equation.3" ShapeID="_x0000_i1034" DrawAspect="Content" ObjectID="_1524642585" r:id="rId25"/>
        </w:object>
      </w:r>
      <w:r w:rsidRPr="00C56CCD">
        <w:rPr>
          <w:i/>
          <w:iCs/>
          <w:lang w:eastAsia="zh-CN"/>
        </w:rPr>
        <w:t xml:space="preserve"> (nprach-Periodicity</w:t>
      </w:r>
      <w:r w:rsidRPr="00C56CCD">
        <w:rPr>
          <w:i/>
          <w:iCs/>
        </w:rPr>
        <w:t>),</w:t>
      </w:r>
    </w:p>
    <w:p w:rsidR="00C56CCD" w:rsidRPr="00C56CCD" w:rsidRDefault="00C56CCD" w:rsidP="00C56CCD">
      <w:pPr>
        <w:pStyle w:val="B1"/>
        <w:rPr>
          <w:i/>
          <w:iCs/>
        </w:rPr>
      </w:pPr>
      <w:r w:rsidRPr="00C56CCD">
        <w:rPr>
          <w:i/>
        </w:rPr>
        <w:t>-</w:t>
      </w:r>
      <w:r w:rsidRPr="00C56CCD">
        <w:rPr>
          <w:i/>
        </w:rPr>
        <w:tab/>
      </w:r>
      <w:r w:rsidRPr="00C56CCD">
        <w:rPr>
          <w:i/>
          <w:iCs/>
        </w:rPr>
        <w:t xml:space="preserve">frequency location of the first sub-carrier allocated to NPRACH </w:t>
      </w:r>
      <w:r w:rsidRPr="00C56CCD">
        <w:rPr>
          <w:i/>
          <w:position w:val="-10"/>
        </w:rPr>
        <w:object w:dxaOrig="840" w:dyaOrig="340">
          <v:shape id="_x0000_i1035" type="#_x0000_t75" style="width:42pt;height:17pt" o:ole="">
            <v:imagedata r:id="rId26" o:title=""/>
          </v:shape>
          <o:OLEObject Type="Embed" ProgID="Equation.3" ShapeID="_x0000_i1035" DrawAspect="Content" ObjectID="_1524642586" r:id="rId27"/>
        </w:object>
      </w:r>
      <w:r w:rsidRPr="00C56CCD">
        <w:rPr>
          <w:i/>
          <w:iCs/>
        </w:rPr>
        <w:t xml:space="preserve"> (nprach-SubcarrierOffset),</w:t>
      </w:r>
    </w:p>
    <w:p w:rsidR="00C56CCD" w:rsidRPr="00C56CCD" w:rsidRDefault="00C56CCD" w:rsidP="00C56CCD">
      <w:pPr>
        <w:pStyle w:val="B1"/>
        <w:rPr>
          <w:i/>
          <w:iCs/>
        </w:rPr>
      </w:pPr>
      <w:r w:rsidRPr="00C56CCD">
        <w:rPr>
          <w:i/>
        </w:rPr>
        <w:t>-</w:t>
      </w:r>
      <w:r w:rsidRPr="00C56CCD">
        <w:rPr>
          <w:i/>
        </w:rPr>
        <w:tab/>
      </w:r>
      <w:r w:rsidRPr="00C56CCD">
        <w:rPr>
          <w:i/>
          <w:iCs/>
        </w:rPr>
        <w:t xml:space="preserve">number of sub-carriers allocated to NPRACH </w:t>
      </w:r>
      <w:r w:rsidRPr="00C56CCD">
        <w:rPr>
          <w:i/>
          <w:position w:val="-10"/>
        </w:rPr>
        <w:object w:dxaOrig="840" w:dyaOrig="340">
          <v:shape id="_x0000_i1036" type="#_x0000_t75" style="width:42pt;height:17pt" o:ole="">
            <v:imagedata r:id="rId28" o:title=""/>
          </v:shape>
          <o:OLEObject Type="Embed" ProgID="Equation.3" ShapeID="_x0000_i1036" DrawAspect="Content" ObjectID="_1524642587" r:id="rId29"/>
        </w:object>
      </w:r>
      <w:r w:rsidRPr="00C56CCD">
        <w:rPr>
          <w:i/>
          <w:iCs/>
        </w:rPr>
        <w:t xml:space="preserve">  (nprach-NumSubcarriers),</w:t>
      </w:r>
    </w:p>
    <w:p w:rsidR="00C56CCD" w:rsidRPr="00C56CCD" w:rsidRDefault="00C56CCD" w:rsidP="00C56CCD">
      <w:pPr>
        <w:pStyle w:val="B1"/>
        <w:rPr>
          <w:i/>
        </w:rPr>
      </w:pPr>
      <w:r w:rsidRPr="00C56CCD">
        <w:rPr>
          <w:i/>
        </w:rPr>
        <w:t>-</w:t>
      </w:r>
      <w:r w:rsidRPr="00C56CCD">
        <w:rPr>
          <w:i/>
        </w:rPr>
        <w:tab/>
        <w:t xml:space="preserve">number of NPRACH repetitions per attempt </w:t>
      </w:r>
      <w:r w:rsidRPr="00C56CCD">
        <w:rPr>
          <w:i/>
          <w:position w:val="-14"/>
        </w:rPr>
        <w:object w:dxaOrig="880" w:dyaOrig="400">
          <v:shape id="_x0000_i1037" type="#_x0000_t75" style="width:41pt;height:18.5pt" o:ole="">
            <v:imagedata r:id="rId30" o:title=""/>
          </v:shape>
          <o:OLEObject Type="Embed" ProgID="Equation.3" ShapeID="_x0000_i1037" DrawAspect="Content" ObjectID="_1524642588" r:id="rId31"/>
        </w:object>
      </w:r>
      <w:r w:rsidRPr="00C56CCD">
        <w:rPr>
          <w:i/>
          <w:iCs/>
        </w:rPr>
        <w:t xml:space="preserve"> </w:t>
      </w:r>
      <w:r w:rsidRPr="00C56CCD">
        <w:rPr>
          <w:i/>
        </w:rPr>
        <w:t>(nprach-NumRepetitions),</w:t>
      </w:r>
    </w:p>
    <w:p w:rsidR="00C56CCD" w:rsidRDefault="00C56CCD" w:rsidP="00C56CCD">
      <w:pPr>
        <w:pStyle w:val="B1"/>
      </w:pPr>
      <w:r w:rsidRPr="00C56CCD">
        <w:rPr>
          <w:i/>
        </w:rPr>
        <w:t>-</w:t>
      </w:r>
      <w:r w:rsidRPr="00C56CCD">
        <w:rPr>
          <w:i/>
        </w:rPr>
        <w:tab/>
        <w:t xml:space="preserve">NPRACH starting subframe </w:t>
      </w:r>
      <w:r w:rsidRPr="00C56CCD">
        <w:rPr>
          <w:i/>
          <w:position w:val="-12"/>
        </w:rPr>
        <w:object w:dxaOrig="880" w:dyaOrig="380">
          <v:shape id="_x0000_i1038" type="#_x0000_t75" style="width:44pt;height:19pt" o:ole="">
            <v:imagedata r:id="rId32" o:title=""/>
          </v:shape>
          <o:OLEObject Type="Embed" ProgID="Equation.3" ShapeID="_x0000_i1038" DrawAspect="Content" ObjectID="_1524642589" r:id="rId33"/>
        </w:object>
      </w:r>
      <w:r w:rsidRPr="00C56CCD">
        <w:rPr>
          <w:i/>
        </w:rPr>
        <w:t xml:space="preserve"> (nprach-StartTime).</w:t>
      </w:r>
    </w:p>
    <w:p w:rsidR="00C56CCD" w:rsidRPr="003F52F0" w:rsidRDefault="00C56CCD" w:rsidP="00C56CCD"/>
    <w:p w:rsidR="00C56CCD" w:rsidRDefault="00C56CCD" w:rsidP="00043DC9">
      <w:pPr>
        <w:rPr>
          <w:lang w:val="en-US"/>
        </w:rPr>
      </w:pPr>
    </w:p>
    <w:p w:rsidR="00574598" w:rsidRDefault="00574598" w:rsidP="00043DC9">
      <w:pPr>
        <w:rPr>
          <w:lang w:val="en-US"/>
        </w:rPr>
      </w:pPr>
    </w:p>
    <w:p w:rsidR="00043DC9" w:rsidRDefault="00B5682A" w:rsidP="00043DC9">
      <w:pPr>
        <w:rPr>
          <w:lang w:val="en-US"/>
        </w:rPr>
      </w:pPr>
      <w:r>
        <w:rPr>
          <w:lang w:val="en-US"/>
        </w:rPr>
        <w:t xml:space="preserve">Based on </w:t>
      </w:r>
      <w:r w:rsidR="00043DC9">
        <w:rPr>
          <w:lang w:val="en-US"/>
        </w:rPr>
        <w:t>[</w:t>
      </w:r>
      <w:r>
        <w:rPr>
          <w:lang w:val="en-US"/>
        </w:rPr>
        <w:t xml:space="preserve">3], NPRACH can be configured with these parameters and these </w:t>
      </w:r>
      <w:r w:rsidR="00043DC9">
        <w:rPr>
          <w:lang w:val="en-US"/>
        </w:rPr>
        <w:t>parameters can take these values:</w:t>
      </w:r>
    </w:p>
    <w:p w:rsidR="00C56CCD" w:rsidRPr="00C56CCD" w:rsidRDefault="00C56CCD" w:rsidP="00C56CCD">
      <w:pPr>
        <w:tabs>
          <w:tab w:val="left" w:pos="3504"/>
        </w:tabs>
        <w:rPr>
          <w:i/>
          <w:lang w:eastAsia="zh-CN"/>
        </w:rPr>
      </w:pPr>
      <w:r w:rsidRPr="00C56CCD">
        <w:rPr>
          <w:i/>
          <w:lang w:eastAsia="zh-CN"/>
        </w:rPr>
        <w:t>nprach-Periodicity</w:t>
      </w:r>
      <w:r w:rsidRPr="00C56CCD">
        <w:rPr>
          <w:i/>
          <w:lang w:eastAsia="zh-CN"/>
        </w:rPr>
        <w:tab/>
        <w:t>40, 80, 160, 240, 320, 640, 1280, 2560</w:t>
      </w:r>
    </w:p>
    <w:p w:rsidR="00C56CCD" w:rsidRPr="00C56CCD" w:rsidRDefault="00C56CCD" w:rsidP="00C56CCD">
      <w:pPr>
        <w:tabs>
          <w:tab w:val="left" w:pos="3504"/>
        </w:tabs>
        <w:rPr>
          <w:i/>
          <w:lang w:eastAsia="zh-CN"/>
        </w:rPr>
      </w:pPr>
      <w:r w:rsidRPr="00C56CCD">
        <w:rPr>
          <w:i/>
          <w:lang w:eastAsia="zh-CN"/>
        </w:rPr>
        <w:t>nprach-SubcarrierOffset</w:t>
      </w:r>
      <w:r w:rsidRPr="00C56CCD">
        <w:rPr>
          <w:i/>
          <w:lang w:eastAsia="zh-CN"/>
        </w:rPr>
        <w:tab/>
        <w:t>0, 12, 24, 36, 2, 18, 34</w:t>
      </w:r>
    </w:p>
    <w:p w:rsidR="00C56CCD" w:rsidRPr="00C56CCD" w:rsidRDefault="00C56CCD" w:rsidP="00C56CCD">
      <w:pPr>
        <w:tabs>
          <w:tab w:val="left" w:pos="3504"/>
        </w:tabs>
        <w:rPr>
          <w:i/>
          <w:lang w:eastAsia="zh-CN"/>
        </w:rPr>
      </w:pPr>
      <w:r w:rsidRPr="00C56CCD">
        <w:rPr>
          <w:i/>
          <w:lang w:eastAsia="zh-CN"/>
        </w:rPr>
        <w:t>nprach-NumSubcarriers</w:t>
      </w:r>
      <w:r w:rsidRPr="00C56CCD">
        <w:rPr>
          <w:i/>
          <w:lang w:eastAsia="zh-CN"/>
        </w:rPr>
        <w:tab/>
        <w:t>12, 24, 36, 48</w:t>
      </w:r>
    </w:p>
    <w:p w:rsidR="00C56CCD" w:rsidRPr="00C56CCD" w:rsidRDefault="00C56CCD" w:rsidP="00C56CCD">
      <w:pPr>
        <w:tabs>
          <w:tab w:val="left" w:pos="3504"/>
        </w:tabs>
        <w:rPr>
          <w:i/>
          <w:lang w:eastAsia="zh-CN"/>
        </w:rPr>
      </w:pPr>
      <w:r w:rsidRPr="00C56CCD">
        <w:rPr>
          <w:i/>
          <w:lang w:eastAsia="zh-CN"/>
        </w:rPr>
        <w:t>nprach-NumRepetitions</w:t>
      </w:r>
      <w:r w:rsidRPr="00C56CCD">
        <w:rPr>
          <w:i/>
          <w:lang w:eastAsia="zh-CN"/>
        </w:rPr>
        <w:tab/>
        <w:t>1, 2, 4 ,8, 16, 32, 64, 128</w:t>
      </w:r>
    </w:p>
    <w:p w:rsidR="00C56CCD" w:rsidRPr="00C56CCD" w:rsidRDefault="00C56CCD" w:rsidP="00C56CCD">
      <w:pPr>
        <w:tabs>
          <w:tab w:val="left" w:pos="3504"/>
        </w:tabs>
        <w:rPr>
          <w:i/>
          <w:lang w:eastAsia="zh-CN"/>
        </w:rPr>
      </w:pPr>
      <w:r w:rsidRPr="00C56CCD">
        <w:rPr>
          <w:i/>
          <w:lang w:eastAsia="zh-CN"/>
        </w:rPr>
        <w:t>nprach-StartTime</w:t>
      </w:r>
      <w:r w:rsidRPr="00C56CCD">
        <w:rPr>
          <w:i/>
          <w:lang w:eastAsia="zh-CN"/>
        </w:rPr>
        <w:tab/>
        <w:t>8, 16, 32, 64, 128, 256, 512, 1024</w:t>
      </w:r>
    </w:p>
    <w:p w:rsidR="009641C7" w:rsidRDefault="009641C7" w:rsidP="009641C7">
      <w:pPr>
        <w:pStyle w:val="Heading3"/>
        <w:ind w:left="0" w:firstLine="0"/>
        <w:jc w:val="both"/>
        <w:rPr>
          <w:kern w:val="2"/>
          <w:lang w:val="en-US"/>
        </w:rPr>
      </w:pPr>
      <w:r>
        <w:rPr>
          <w:kern w:val="2"/>
          <w:lang w:val="en-US"/>
        </w:rPr>
        <w:t>3</w:t>
      </w:r>
      <w:r w:rsidRPr="00B72150">
        <w:rPr>
          <w:kern w:val="2"/>
          <w:lang w:val="en-US"/>
        </w:rPr>
        <w:tab/>
      </w:r>
      <w:r>
        <w:rPr>
          <w:kern w:val="2"/>
          <w:lang w:val="en-US"/>
        </w:rPr>
        <w:t xml:space="preserve">NPRACH performance </w:t>
      </w:r>
      <w:r w:rsidR="003906E2">
        <w:rPr>
          <w:kern w:val="2"/>
          <w:lang w:val="en-US"/>
        </w:rPr>
        <w:t>requirements</w:t>
      </w:r>
    </w:p>
    <w:p w:rsidR="009E0BE7" w:rsidRDefault="009E0BE7" w:rsidP="009E0BE7">
      <w:pPr>
        <w:pStyle w:val="Heading4"/>
        <w:rPr>
          <w:lang w:val="en-US"/>
        </w:rPr>
      </w:pPr>
      <w:r>
        <w:rPr>
          <w:lang w:val="en-US"/>
        </w:rPr>
        <w:t>3.1</w:t>
      </w:r>
      <w:r>
        <w:rPr>
          <w:lang w:val="en-US"/>
        </w:rPr>
        <w:tab/>
        <w:t>Criterion</w:t>
      </w:r>
    </w:p>
    <w:p w:rsidR="008A4E10" w:rsidRDefault="009E0BE7" w:rsidP="008A4E10">
      <w:pPr>
        <w:rPr>
          <w:lang w:val="en-US"/>
        </w:rPr>
      </w:pPr>
      <w:r>
        <w:rPr>
          <w:lang w:val="en-US"/>
        </w:rPr>
        <w:t>The legacy LTE PRACH performance requirements are based on PRACH false alarm probability (&lt;=0.1%) and missed detection probability (&lt;1%).  Based on 36.104, the detection probability is the conditional probability of correct detection of the preamble when the signal is present.  The error detection cases, as specified in 36.104, include:</w:t>
      </w:r>
    </w:p>
    <w:p w:rsidR="009E0BE7" w:rsidRPr="009E0BE7" w:rsidRDefault="009E0BE7" w:rsidP="009E0BE7">
      <w:pPr>
        <w:pStyle w:val="ListParagraph"/>
        <w:numPr>
          <w:ilvl w:val="0"/>
          <w:numId w:val="40"/>
        </w:numPr>
        <w:rPr>
          <w:sz w:val="20"/>
          <w:szCs w:val="20"/>
        </w:rPr>
      </w:pPr>
      <w:r w:rsidRPr="009E0BE7">
        <w:rPr>
          <w:sz w:val="20"/>
          <w:szCs w:val="20"/>
        </w:rPr>
        <w:t>Detection of different preamble other than the transmitted preamble;</w:t>
      </w:r>
    </w:p>
    <w:p w:rsidR="009E0BE7" w:rsidRPr="009E0BE7" w:rsidRDefault="009E0BE7" w:rsidP="009E0BE7">
      <w:pPr>
        <w:pStyle w:val="ListParagraph"/>
        <w:numPr>
          <w:ilvl w:val="0"/>
          <w:numId w:val="40"/>
        </w:numPr>
        <w:rPr>
          <w:sz w:val="20"/>
          <w:szCs w:val="20"/>
        </w:rPr>
      </w:pPr>
      <w:r w:rsidRPr="009E0BE7">
        <w:rPr>
          <w:sz w:val="20"/>
          <w:szCs w:val="20"/>
        </w:rPr>
        <w:t xml:space="preserve">Not </w:t>
      </w:r>
      <w:r w:rsidR="005F0880">
        <w:rPr>
          <w:sz w:val="20"/>
          <w:szCs w:val="20"/>
        </w:rPr>
        <w:t>detecting</w:t>
      </w:r>
      <w:r w:rsidRPr="009E0BE7">
        <w:rPr>
          <w:sz w:val="20"/>
          <w:szCs w:val="20"/>
        </w:rPr>
        <w:t xml:space="preserve"> </w:t>
      </w:r>
      <w:r w:rsidR="005F0880">
        <w:rPr>
          <w:sz w:val="20"/>
          <w:szCs w:val="20"/>
        </w:rPr>
        <w:t>the preamble at all;</w:t>
      </w:r>
    </w:p>
    <w:p w:rsidR="009E0BE7" w:rsidRDefault="009E0BE7" w:rsidP="009E0BE7">
      <w:pPr>
        <w:pStyle w:val="ListParagraph"/>
        <w:numPr>
          <w:ilvl w:val="0"/>
          <w:numId w:val="40"/>
        </w:numPr>
        <w:rPr>
          <w:sz w:val="20"/>
          <w:szCs w:val="20"/>
        </w:rPr>
      </w:pPr>
      <w:r w:rsidRPr="009E0BE7">
        <w:rPr>
          <w:sz w:val="20"/>
          <w:szCs w:val="20"/>
        </w:rPr>
        <w:t>And correct preamble detection but with the wrong timing estimation.</w:t>
      </w:r>
    </w:p>
    <w:p w:rsidR="003906E2" w:rsidRPr="004614DE" w:rsidRDefault="009E0BE7" w:rsidP="003906E2">
      <w:pPr>
        <w:rPr>
          <w:lang w:val="en-US"/>
        </w:rPr>
      </w:pPr>
      <w:r>
        <w:rPr>
          <w:lang w:val="en-US"/>
        </w:rPr>
        <w:t xml:space="preserve">The wrong timing estimation </w:t>
      </w:r>
      <w:r w:rsidR="004614DE">
        <w:rPr>
          <w:lang w:val="en-US"/>
        </w:rPr>
        <w:t>is defined when either one of cases:</w:t>
      </w:r>
    </w:p>
    <w:p w:rsidR="004614DE" w:rsidRPr="004614DE" w:rsidRDefault="004614DE" w:rsidP="004614DE">
      <w:pPr>
        <w:pStyle w:val="ListParagraph"/>
        <w:numPr>
          <w:ilvl w:val="0"/>
          <w:numId w:val="41"/>
        </w:numPr>
        <w:rPr>
          <w:sz w:val="20"/>
          <w:szCs w:val="20"/>
        </w:rPr>
      </w:pPr>
      <w:r w:rsidRPr="004614DE">
        <w:rPr>
          <w:sz w:val="20"/>
          <w:szCs w:val="20"/>
        </w:rPr>
        <w:t>the timing estimation error of the strongest path is larger than 1.04us for AWGN;</w:t>
      </w:r>
    </w:p>
    <w:p w:rsidR="004614DE" w:rsidRDefault="004614DE" w:rsidP="004614DE">
      <w:pPr>
        <w:pStyle w:val="ListParagraph"/>
        <w:numPr>
          <w:ilvl w:val="0"/>
          <w:numId w:val="41"/>
        </w:numPr>
        <w:rPr>
          <w:sz w:val="20"/>
          <w:szCs w:val="20"/>
        </w:rPr>
      </w:pPr>
      <w:r w:rsidRPr="004614DE">
        <w:rPr>
          <w:sz w:val="20"/>
          <w:szCs w:val="20"/>
        </w:rPr>
        <w:t>the timing estimation error of the strongest path is larger than 2.08us for ETU70.</w:t>
      </w:r>
    </w:p>
    <w:p w:rsidR="004614DE" w:rsidRDefault="004614DE" w:rsidP="004614DE">
      <w:r>
        <w:t>Usually, the timing estimation error for legacy LTE PRACH is quite small compared to target 1% missed detection probability.  However, the timing estimation error becomes significant for NPRACH, as discussed in the companion paper [4].</w:t>
      </w:r>
    </w:p>
    <w:p w:rsidR="004614DE" w:rsidRDefault="00203127" w:rsidP="004614DE">
      <w:r>
        <w:t xml:space="preserve">Based on NPRACH performance evaluation in [4], it shows that it is difficult to reach timing estimation error 1% with 2.5us timing limit for NPRACH detection </w:t>
      </w:r>
      <w:r w:rsidR="00BB4ACF">
        <w:t xml:space="preserve">with </w:t>
      </w:r>
      <w:r>
        <w:t>1% missed detection rate and 0.1% false alarm rate</w:t>
      </w:r>
      <w:r w:rsidR="00BB4ACF">
        <w:t>.  Due to single-tone nature of NPRACH and its limited BW in frequency hopping, further study is needed to capture both timing estimation performance and missed detection performance for NPRACH requirements.</w:t>
      </w:r>
    </w:p>
    <w:p w:rsidR="00BB4ACF" w:rsidRPr="00BB4ACF" w:rsidRDefault="00BB4ACF" w:rsidP="004614DE">
      <w:pPr>
        <w:rPr>
          <w:b/>
          <w:i/>
        </w:rPr>
      </w:pPr>
      <w:r w:rsidRPr="00BB4ACF">
        <w:rPr>
          <w:b/>
          <w:i/>
        </w:rPr>
        <w:t>Proposal 1:</w:t>
      </w:r>
      <w:r w:rsidRPr="00BB4ACF">
        <w:rPr>
          <w:b/>
          <w:i/>
        </w:rPr>
        <w:tab/>
        <w:t>Further study is needed to capture both timing estimation performance and missed detection performance for NPRACH requirements.</w:t>
      </w:r>
    </w:p>
    <w:p w:rsidR="003906E2" w:rsidRDefault="009E0BE7" w:rsidP="009E0BE7">
      <w:pPr>
        <w:pStyle w:val="Heading4"/>
        <w:rPr>
          <w:lang w:val="en-US"/>
        </w:rPr>
      </w:pPr>
      <w:r>
        <w:rPr>
          <w:lang w:val="en-US"/>
        </w:rPr>
        <w:t>3.2</w:t>
      </w:r>
      <w:r>
        <w:rPr>
          <w:lang w:val="en-US"/>
        </w:rPr>
        <w:tab/>
      </w:r>
      <w:r w:rsidR="00BB4ACF">
        <w:rPr>
          <w:lang w:val="en-US"/>
        </w:rPr>
        <w:t>Simulation</w:t>
      </w:r>
      <w:r>
        <w:rPr>
          <w:lang w:val="en-US"/>
        </w:rPr>
        <w:t xml:space="preserve"> assumptions</w:t>
      </w:r>
    </w:p>
    <w:p w:rsidR="009E0BE7" w:rsidRDefault="00BB4ACF" w:rsidP="003906E2">
      <w:pPr>
        <w:rPr>
          <w:lang w:val="en-US"/>
        </w:rPr>
      </w:pPr>
      <w:r>
        <w:rPr>
          <w:lang w:val="en-US"/>
        </w:rPr>
        <w:t xml:space="preserve">Simulations are need to evaluate NPRACH performance before </w:t>
      </w:r>
      <w:r w:rsidR="00280723">
        <w:rPr>
          <w:lang w:val="en-US"/>
        </w:rPr>
        <w:t>the performance specification.</w:t>
      </w:r>
    </w:p>
    <w:p w:rsidR="00280723" w:rsidRDefault="00280723" w:rsidP="00280723">
      <w:pPr>
        <w:pStyle w:val="Caption"/>
        <w:keepNext/>
        <w:jc w:val="center"/>
      </w:pPr>
      <w:bookmarkStart w:id="0" w:name="_Ref450830533"/>
      <w:r>
        <w:t xml:space="preserve">Table </w:t>
      </w:r>
      <w:r>
        <w:fldChar w:fldCharType="begin"/>
      </w:r>
      <w:r>
        <w:instrText xml:space="preserve"> SEQ Table \* ARABIC </w:instrText>
      </w:r>
      <w:r>
        <w:fldChar w:fldCharType="separate"/>
      </w:r>
      <w:r>
        <w:rPr>
          <w:noProof/>
        </w:rPr>
        <w:t>1</w:t>
      </w:r>
      <w:r>
        <w:fldChar w:fldCharType="end"/>
      </w:r>
      <w:bookmarkEnd w:id="0"/>
      <w:r>
        <w:t xml:space="preserve">    Simulation assumptions</w:t>
      </w:r>
    </w:p>
    <w:tbl>
      <w:tblPr>
        <w:tblW w:w="5720" w:type="dxa"/>
        <w:jc w:val="center"/>
        <w:tblLook w:val="04A0" w:firstRow="1" w:lastRow="0" w:firstColumn="1" w:lastColumn="0" w:noHBand="0" w:noVBand="1"/>
      </w:tblPr>
      <w:tblGrid>
        <w:gridCol w:w="2740"/>
        <w:gridCol w:w="2980"/>
      </w:tblGrid>
      <w:tr w:rsidR="00280723" w:rsidRPr="00280723" w:rsidTr="00280723">
        <w:trPr>
          <w:trHeight w:val="288"/>
          <w:jc w:val="center"/>
        </w:trPr>
        <w:tc>
          <w:tcPr>
            <w:tcW w:w="2740" w:type="dxa"/>
            <w:tcBorders>
              <w:top w:val="single" w:sz="4" w:space="0" w:color="auto"/>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Parameter</w:t>
            </w:r>
          </w:p>
        </w:tc>
        <w:tc>
          <w:tcPr>
            <w:tcW w:w="2980" w:type="dxa"/>
            <w:tcBorders>
              <w:top w:val="single" w:sz="4" w:space="0" w:color="auto"/>
              <w:left w:val="nil"/>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Values</w:t>
            </w:r>
          </w:p>
        </w:tc>
      </w:tr>
      <w:tr w:rsidR="00280723" w:rsidRPr="00280723" w:rsidTr="00280723">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NPRACH burst format</w:t>
            </w:r>
          </w:p>
        </w:tc>
        <w:tc>
          <w:tcPr>
            <w:tcW w:w="2980" w:type="dxa"/>
            <w:tcBorders>
              <w:top w:val="nil"/>
              <w:left w:val="nil"/>
              <w:bottom w:val="single" w:sz="4" w:space="0" w:color="auto"/>
              <w:right w:val="single" w:sz="4" w:space="0" w:color="auto"/>
            </w:tcBorders>
            <w:shd w:val="clear" w:color="000000" w:fill="DCE6F1"/>
            <w:noWrap/>
            <w:vAlign w:val="bottom"/>
            <w:hideMark/>
          </w:tcPr>
          <w:p w:rsidR="00280723" w:rsidRPr="00280723" w:rsidRDefault="00280723" w:rsidP="00B83CB0">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BF0</w:t>
            </w:r>
          </w:p>
        </w:tc>
      </w:tr>
      <w:tr w:rsidR="00280723" w:rsidRPr="00280723" w:rsidTr="00280723">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Number of Repetitions</w:t>
            </w:r>
          </w:p>
        </w:tc>
        <w:tc>
          <w:tcPr>
            <w:tcW w:w="2980" w:type="dxa"/>
            <w:tcBorders>
              <w:top w:val="nil"/>
              <w:left w:val="nil"/>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2, 8, 32</w:t>
            </w:r>
          </w:p>
        </w:tc>
      </w:tr>
      <w:tr w:rsidR="00280723" w:rsidRPr="00280723" w:rsidTr="00280723">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Number of Subcarriers</w:t>
            </w:r>
          </w:p>
        </w:tc>
        <w:tc>
          <w:tcPr>
            <w:tcW w:w="2980" w:type="dxa"/>
            <w:tcBorders>
              <w:top w:val="nil"/>
              <w:left w:val="nil"/>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12, [24]</w:t>
            </w:r>
          </w:p>
        </w:tc>
      </w:tr>
      <w:tr w:rsidR="00280723" w:rsidRPr="00280723" w:rsidTr="00280723">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frequency offset</w:t>
            </w:r>
          </w:p>
        </w:tc>
        <w:tc>
          <w:tcPr>
            <w:tcW w:w="2980" w:type="dxa"/>
            <w:tcBorders>
              <w:top w:val="nil"/>
              <w:left w:val="nil"/>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0Hz (AWGN); [50]Hz (TU1)</w:t>
            </w:r>
          </w:p>
        </w:tc>
      </w:tr>
      <w:tr w:rsidR="00280723" w:rsidRPr="00280723" w:rsidTr="00280723">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Propagation channels</w:t>
            </w:r>
          </w:p>
        </w:tc>
        <w:tc>
          <w:tcPr>
            <w:tcW w:w="2980" w:type="dxa"/>
            <w:tcBorders>
              <w:top w:val="nil"/>
              <w:left w:val="nil"/>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AWGN, TU1</w:t>
            </w:r>
          </w:p>
        </w:tc>
      </w:tr>
      <w:tr w:rsidR="00280723" w:rsidRPr="00280723" w:rsidTr="00280723">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 </w:t>
            </w:r>
          </w:p>
        </w:tc>
        <w:tc>
          <w:tcPr>
            <w:tcW w:w="2980" w:type="dxa"/>
            <w:tcBorders>
              <w:top w:val="nil"/>
              <w:left w:val="nil"/>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 </w:t>
            </w:r>
          </w:p>
        </w:tc>
      </w:tr>
      <w:tr w:rsidR="00280723" w:rsidRPr="00280723" w:rsidTr="00280723">
        <w:trPr>
          <w:trHeight w:val="576"/>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Detection performance</w:t>
            </w:r>
          </w:p>
        </w:tc>
        <w:tc>
          <w:tcPr>
            <w:tcW w:w="2980" w:type="dxa"/>
            <w:tcBorders>
              <w:top w:val="nil"/>
              <w:left w:val="nil"/>
              <w:bottom w:val="single" w:sz="4" w:space="0" w:color="auto"/>
              <w:right w:val="single" w:sz="4" w:space="0" w:color="auto"/>
            </w:tcBorders>
            <w:shd w:val="clear" w:color="000000" w:fill="DCE6F1"/>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 xml:space="preserve">Missed detection rate </w:t>
            </w:r>
            <w:r>
              <w:rPr>
                <w:rFonts w:ascii="Calibri" w:eastAsia="Times New Roman" w:hAnsi="Calibri"/>
                <w:color w:val="000000"/>
                <w:sz w:val="22"/>
                <w:szCs w:val="22"/>
                <w:lang w:val="en-US" w:eastAsia="zh-CN"/>
              </w:rPr>
              <w:t xml:space="preserve">(1%) </w:t>
            </w:r>
            <w:r w:rsidRPr="00280723">
              <w:rPr>
                <w:rFonts w:ascii="Calibri" w:eastAsia="Times New Roman" w:hAnsi="Calibri"/>
                <w:color w:val="000000"/>
                <w:sz w:val="22"/>
                <w:szCs w:val="22"/>
                <w:lang w:val="en-US" w:eastAsia="zh-CN"/>
              </w:rPr>
              <w:t>with false alarm rate</w:t>
            </w:r>
            <w:r>
              <w:rPr>
                <w:rFonts w:ascii="Calibri" w:eastAsia="Times New Roman" w:hAnsi="Calibri"/>
                <w:color w:val="000000"/>
                <w:sz w:val="22"/>
                <w:szCs w:val="22"/>
                <w:lang w:val="en-US" w:eastAsia="zh-CN"/>
              </w:rPr>
              <w:t xml:space="preserve"> (0.1%)</w:t>
            </w:r>
          </w:p>
        </w:tc>
      </w:tr>
      <w:tr w:rsidR="00280723" w:rsidRPr="00280723" w:rsidTr="00280723">
        <w:trPr>
          <w:trHeight w:val="576"/>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Timing estimation</w:t>
            </w:r>
          </w:p>
        </w:tc>
        <w:tc>
          <w:tcPr>
            <w:tcW w:w="2980" w:type="dxa"/>
            <w:tcBorders>
              <w:top w:val="nil"/>
              <w:left w:val="nil"/>
              <w:bottom w:val="single" w:sz="4" w:space="0" w:color="auto"/>
              <w:right w:val="single" w:sz="4" w:space="0" w:color="auto"/>
            </w:tcBorders>
            <w:shd w:val="clear" w:color="000000" w:fill="DCE6F1"/>
            <w:vAlign w:val="bottom"/>
            <w:hideMark/>
          </w:tcPr>
          <w:p w:rsidR="00280723" w:rsidRPr="00280723" w:rsidRDefault="00280723" w:rsidP="00280723">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Timing error probab</w:t>
            </w:r>
            <w:r>
              <w:rPr>
                <w:rFonts w:ascii="Calibri" w:eastAsia="Times New Roman" w:hAnsi="Calibri"/>
                <w:color w:val="000000"/>
                <w:sz w:val="22"/>
                <w:szCs w:val="22"/>
                <w:lang w:val="en-US" w:eastAsia="zh-CN"/>
              </w:rPr>
              <w:t>i</w:t>
            </w:r>
            <w:r w:rsidRPr="00280723">
              <w:rPr>
                <w:rFonts w:ascii="Calibri" w:eastAsia="Times New Roman" w:hAnsi="Calibri"/>
                <w:color w:val="000000"/>
                <w:sz w:val="22"/>
                <w:szCs w:val="22"/>
                <w:lang w:val="en-US" w:eastAsia="zh-CN"/>
              </w:rPr>
              <w:t>lity with limits 2.5us, [5us], [10us]</w:t>
            </w:r>
          </w:p>
        </w:tc>
      </w:tr>
    </w:tbl>
    <w:p w:rsidR="00BB4ACF" w:rsidRDefault="00BB4ACF" w:rsidP="003906E2">
      <w:pPr>
        <w:rPr>
          <w:lang w:val="en-US"/>
        </w:rPr>
      </w:pPr>
    </w:p>
    <w:p w:rsidR="00280723" w:rsidRDefault="00280723" w:rsidP="003906E2">
      <w:pPr>
        <w:rPr>
          <w:lang w:val="en-US"/>
        </w:rPr>
      </w:pPr>
      <w:r>
        <w:rPr>
          <w:lang w:val="en-US"/>
        </w:rPr>
        <w:lastRenderedPageBreak/>
        <w:t xml:space="preserve">The simulation assumptions are proposed in </w:t>
      </w:r>
      <w:r>
        <w:rPr>
          <w:lang w:val="en-US"/>
        </w:rPr>
        <w:fldChar w:fldCharType="begin"/>
      </w:r>
      <w:r>
        <w:rPr>
          <w:lang w:val="en-US"/>
        </w:rPr>
        <w:instrText xml:space="preserve"> REF _Ref450830533 \h </w:instrText>
      </w:r>
      <w:r>
        <w:rPr>
          <w:lang w:val="en-US"/>
        </w:rPr>
      </w:r>
      <w:r>
        <w:rPr>
          <w:lang w:val="en-US"/>
        </w:rPr>
        <w:fldChar w:fldCharType="separate"/>
      </w:r>
      <w:r>
        <w:t xml:space="preserve">Table </w:t>
      </w:r>
      <w:r>
        <w:rPr>
          <w:noProof/>
        </w:rPr>
        <w:t>1</w:t>
      </w:r>
      <w:r>
        <w:rPr>
          <w:lang w:val="en-US"/>
        </w:rPr>
        <w:fldChar w:fldCharType="end"/>
      </w:r>
      <w:r>
        <w:rPr>
          <w:lang w:val="en-US"/>
        </w:rPr>
        <w:t xml:space="preserve"> with related parameters.  </w:t>
      </w:r>
      <w:r w:rsidR="00B83CB0">
        <w:rPr>
          <w:lang w:val="en-US"/>
        </w:rPr>
        <w:t>We need start with BF0 performance and b</w:t>
      </w:r>
      <w:r>
        <w:rPr>
          <w:lang w:val="en-US"/>
        </w:rPr>
        <w:t xml:space="preserve">oth burst formats </w:t>
      </w:r>
      <w:r w:rsidR="00B83CB0">
        <w:rPr>
          <w:lang w:val="en-US"/>
        </w:rPr>
        <w:t>shall be specified</w:t>
      </w:r>
      <w:r>
        <w:rPr>
          <w:lang w:val="en-US"/>
        </w:rPr>
        <w:t xml:space="preserve">.  The number of repetitions can be 2, 8, and 32 to minimize number of tests.  The frequency offset is related to the propagation channels.  For AWGN channel no frequency offset is assumed, which is aligned with the legacy PRACH tests.  TU1 channel is proposed for multi-path channel due to the low mobility of NB-IoT devices. </w:t>
      </w:r>
    </w:p>
    <w:p w:rsidR="00280723" w:rsidRDefault="00280723" w:rsidP="003906E2">
      <w:pPr>
        <w:rPr>
          <w:lang w:val="en-US"/>
        </w:rPr>
      </w:pPr>
      <w:r>
        <w:rPr>
          <w:lang w:val="en-US"/>
        </w:rPr>
        <w:t xml:space="preserve">The performance evaluation shall capture both detection performance and timing estimation performance.  The detection performance includes missed detection rate and false alarm rate, with target rate of 1% and 0.1%, respectively.  </w:t>
      </w:r>
      <w:r w:rsidR="007C1A2B">
        <w:rPr>
          <w:lang w:val="en-US"/>
        </w:rPr>
        <w:t>The timing estimation performance shall be evaluated with the timing error probability with timing limits of 2.5us, 5us, and 10us.  We propose to use these parameters in Table 1 to study NPRACH performance before the specification of performance requirements.</w:t>
      </w:r>
    </w:p>
    <w:p w:rsidR="007C1A2B" w:rsidRDefault="007C1A2B" w:rsidP="003906E2">
      <w:pPr>
        <w:rPr>
          <w:b/>
          <w:i/>
          <w:lang w:val="en-US"/>
        </w:rPr>
      </w:pPr>
      <w:r>
        <w:rPr>
          <w:b/>
          <w:i/>
          <w:lang w:val="en-US"/>
        </w:rPr>
        <w:t>Proposal 2:</w:t>
      </w:r>
      <w:r>
        <w:rPr>
          <w:b/>
          <w:i/>
          <w:lang w:val="en-US"/>
        </w:rPr>
        <w:tab/>
        <w:t xml:space="preserve">Simulation assumptions in </w:t>
      </w:r>
      <w:r w:rsidRPr="007C1A2B">
        <w:rPr>
          <w:lang w:val="en-US"/>
        </w:rPr>
        <w:fldChar w:fldCharType="begin"/>
      </w:r>
      <w:r w:rsidRPr="007C1A2B">
        <w:rPr>
          <w:lang w:val="en-US"/>
        </w:rPr>
        <w:instrText xml:space="preserve"> REF _Ref450830533 \h  \* MERGEFORMAT </w:instrText>
      </w:r>
      <w:r w:rsidRPr="007C1A2B">
        <w:rPr>
          <w:lang w:val="en-US"/>
        </w:rPr>
      </w:r>
      <w:r w:rsidRPr="007C1A2B">
        <w:rPr>
          <w:lang w:val="en-US"/>
        </w:rPr>
        <w:fldChar w:fldCharType="separate"/>
      </w:r>
      <w:r w:rsidRPr="007C1A2B">
        <w:t xml:space="preserve">Table </w:t>
      </w:r>
      <w:r w:rsidRPr="007C1A2B">
        <w:rPr>
          <w:noProof/>
        </w:rPr>
        <w:t>1</w:t>
      </w:r>
      <w:r w:rsidRPr="007C1A2B">
        <w:rPr>
          <w:lang w:val="en-US"/>
        </w:rPr>
        <w:fldChar w:fldCharType="end"/>
      </w:r>
      <w:r>
        <w:rPr>
          <w:b/>
          <w:i/>
          <w:lang w:val="en-US"/>
        </w:rPr>
        <w:t xml:space="preserve"> shall be used for NPRACH evaluation.</w:t>
      </w:r>
    </w:p>
    <w:p w:rsidR="00E86B6B" w:rsidRPr="007C1A2B" w:rsidRDefault="00E86B6B" w:rsidP="003906E2">
      <w:pPr>
        <w:rPr>
          <w:b/>
          <w:i/>
          <w:lang w:val="en-US"/>
        </w:rPr>
      </w:pPr>
    </w:p>
    <w:p w:rsidR="009641C7" w:rsidRDefault="009641C7" w:rsidP="009641C7">
      <w:pPr>
        <w:pStyle w:val="Heading3"/>
        <w:ind w:left="0" w:firstLine="0"/>
        <w:jc w:val="both"/>
        <w:rPr>
          <w:kern w:val="2"/>
          <w:lang w:val="en-US"/>
        </w:rPr>
      </w:pPr>
      <w:r>
        <w:rPr>
          <w:kern w:val="2"/>
          <w:lang w:val="en-US"/>
        </w:rPr>
        <w:t>4</w:t>
      </w:r>
      <w:r w:rsidRPr="00B72150">
        <w:rPr>
          <w:kern w:val="2"/>
          <w:lang w:val="en-US"/>
        </w:rPr>
        <w:tab/>
      </w:r>
      <w:r w:rsidR="00574598">
        <w:rPr>
          <w:kern w:val="2"/>
          <w:lang w:val="en-US"/>
        </w:rPr>
        <w:t>Conclusions</w:t>
      </w:r>
    </w:p>
    <w:p w:rsidR="00FD6867" w:rsidRDefault="007C1A2B" w:rsidP="00FD6867">
      <w:pPr>
        <w:rPr>
          <w:lang w:val="en-US"/>
        </w:rPr>
      </w:pPr>
      <w:r>
        <w:rPr>
          <w:lang w:val="en-US"/>
        </w:rPr>
        <w:t xml:space="preserve">The NPRACH </w:t>
      </w:r>
      <w:r w:rsidR="00E86B6B">
        <w:rPr>
          <w:lang w:val="en-US"/>
        </w:rPr>
        <w:t>channel of</w:t>
      </w:r>
      <w:r>
        <w:rPr>
          <w:lang w:val="en-US"/>
        </w:rPr>
        <w:t xml:space="preserve"> NB-IoT is discussed </w:t>
      </w:r>
      <w:r w:rsidR="00E86B6B">
        <w:rPr>
          <w:lang w:val="en-US"/>
        </w:rPr>
        <w:t xml:space="preserve">in the contribution </w:t>
      </w:r>
      <w:r>
        <w:rPr>
          <w:lang w:val="en-US"/>
        </w:rPr>
        <w:t xml:space="preserve">for RAN4 specification of performance requirements.  Overview of NPRACH design is provided.  With </w:t>
      </w:r>
      <w:r w:rsidR="00E86B6B">
        <w:rPr>
          <w:lang w:val="en-US"/>
        </w:rPr>
        <w:t xml:space="preserve">the </w:t>
      </w:r>
      <w:r>
        <w:rPr>
          <w:lang w:val="en-US"/>
        </w:rPr>
        <w:t xml:space="preserve">legacy PRACH performance requirements as </w:t>
      </w:r>
      <w:r w:rsidR="00E86B6B">
        <w:rPr>
          <w:lang w:val="en-US"/>
        </w:rPr>
        <w:t xml:space="preserve">the </w:t>
      </w:r>
      <w:r>
        <w:rPr>
          <w:lang w:val="en-US"/>
        </w:rPr>
        <w:t>basis, the NPRACH detection performance and NPRACH timing estimation performance shall be evaluated for NPRACH requirements.  Further simulation assumptions are proposed so that RAN4 can evaluate NPRACH performance before the requirements specification.</w:t>
      </w:r>
    </w:p>
    <w:p w:rsidR="007C1A2B" w:rsidRDefault="007C1A2B" w:rsidP="00FD6867">
      <w:pPr>
        <w:rPr>
          <w:lang w:val="en-US"/>
        </w:rPr>
      </w:pPr>
      <w:r>
        <w:rPr>
          <w:lang w:val="en-US"/>
        </w:rPr>
        <w:t>We propose:</w:t>
      </w:r>
    </w:p>
    <w:p w:rsidR="007C1A2B" w:rsidRPr="00BB4ACF" w:rsidRDefault="007C1A2B" w:rsidP="007C1A2B">
      <w:pPr>
        <w:rPr>
          <w:b/>
          <w:i/>
        </w:rPr>
      </w:pPr>
      <w:r w:rsidRPr="00BB4ACF">
        <w:rPr>
          <w:b/>
          <w:i/>
        </w:rPr>
        <w:t>Proposal 1:</w:t>
      </w:r>
      <w:r w:rsidRPr="00BB4ACF">
        <w:rPr>
          <w:b/>
          <w:i/>
        </w:rPr>
        <w:tab/>
        <w:t>Further study is needed to capture both timing estimation performance and missed detection performance for NPRACH requirements.</w:t>
      </w:r>
    </w:p>
    <w:p w:rsidR="007C1A2B" w:rsidRPr="007C1A2B" w:rsidRDefault="007C1A2B" w:rsidP="007C1A2B">
      <w:pPr>
        <w:rPr>
          <w:b/>
          <w:i/>
          <w:lang w:val="en-US"/>
        </w:rPr>
      </w:pPr>
      <w:r>
        <w:rPr>
          <w:b/>
          <w:i/>
          <w:lang w:val="en-US"/>
        </w:rPr>
        <w:t>Proposal 2:</w:t>
      </w:r>
      <w:r>
        <w:rPr>
          <w:b/>
          <w:i/>
          <w:lang w:val="en-US"/>
        </w:rPr>
        <w:tab/>
        <w:t xml:space="preserve">Simulation assumptions in </w:t>
      </w:r>
      <w:r w:rsidRPr="007C1A2B">
        <w:rPr>
          <w:lang w:val="en-US"/>
        </w:rPr>
        <w:fldChar w:fldCharType="begin"/>
      </w:r>
      <w:r w:rsidRPr="007C1A2B">
        <w:rPr>
          <w:lang w:val="en-US"/>
        </w:rPr>
        <w:instrText xml:space="preserve"> REF _Ref450830533 \h  \* MERGEFORMAT </w:instrText>
      </w:r>
      <w:r w:rsidRPr="007C1A2B">
        <w:rPr>
          <w:lang w:val="en-US"/>
        </w:rPr>
      </w:r>
      <w:r w:rsidRPr="007C1A2B">
        <w:rPr>
          <w:lang w:val="en-US"/>
        </w:rPr>
        <w:fldChar w:fldCharType="separate"/>
      </w:r>
      <w:r w:rsidRPr="007C1A2B">
        <w:t xml:space="preserve">Table </w:t>
      </w:r>
      <w:r w:rsidRPr="007C1A2B">
        <w:rPr>
          <w:noProof/>
        </w:rPr>
        <w:t>1</w:t>
      </w:r>
      <w:r w:rsidRPr="007C1A2B">
        <w:rPr>
          <w:lang w:val="en-US"/>
        </w:rPr>
        <w:fldChar w:fldCharType="end"/>
      </w:r>
      <w:r>
        <w:rPr>
          <w:b/>
          <w:i/>
          <w:lang w:val="en-US"/>
        </w:rPr>
        <w:t xml:space="preserve"> shall be used for NPRACH evaluation.</w:t>
      </w:r>
    </w:p>
    <w:tbl>
      <w:tblPr>
        <w:tblW w:w="5720" w:type="dxa"/>
        <w:jc w:val="center"/>
        <w:tblLook w:val="04A0" w:firstRow="1" w:lastRow="0" w:firstColumn="1" w:lastColumn="0" w:noHBand="0" w:noVBand="1"/>
      </w:tblPr>
      <w:tblGrid>
        <w:gridCol w:w="2740"/>
        <w:gridCol w:w="2980"/>
      </w:tblGrid>
      <w:tr w:rsidR="007C1A2B" w:rsidRPr="00280723" w:rsidTr="00D51111">
        <w:trPr>
          <w:trHeight w:val="288"/>
          <w:jc w:val="center"/>
        </w:trPr>
        <w:tc>
          <w:tcPr>
            <w:tcW w:w="2740" w:type="dxa"/>
            <w:tcBorders>
              <w:top w:val="single" w:sz="4" w:space="0" w:color="auto"/>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Parameter</w:t>
            </w:r>
          </w:p>
        </w:tc>
        <w:tc>
          <w:tcPr>
            <w:tcW w:w="2980" w:type="dxa"/>
            <w:tcBorders>
              <w:top w:val="single" w:sz="4" w:space="0" w:color="auto"/>
              <w:left w:val="nil"/>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Values</w:t>
            </w:r>
          </w:p>
        </w:tc>
      </w:tr>
      <w:tr w:rsidR="007C1A2B" w:rsidRPr="00280723" w:rsidTr="00D51111">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NPRACH burst format</w:t>
            </w:r>
          </w:p>
        </w:tc>
        <w:tc>
          <w:tcPr>
            <w:tcW w:w="2980" w:type="dxa"/>
            <w:tcBorders>
              <w:top w:val="nil"/>
              <w:left w:val="nil"/>
              <w:bottom w:val="single" w:sz="4" w:space="0" w:color="auto"/>
              <w:right w:val="single" w:sz="4" w:space="0" w:color="auto"/>
            </w:tcBorders>
            <w:shd w:val="clear" w:color="000000" w:fill="DCE6F1"/>
            <w:noWrap/>
            <w:vAlign w:val="bottom"/>
            <w:hideMark/>
          </w:tcPr>
          <w:p w:rsidR="007C1A2B" w:rsidRPr="00280723" w:rsidRDefault="007C1A2B" w:rsidP="00B83CB0">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BF0</w:t>
            </w:r>
          </w:p>
        </w:tc>
      </w:tr>
      <w:tr w:rsidR="007C1A2B" w:rsidRPr="00280723" w:rsidTr="00D51111">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Number of Repetitions</w:t>
            </w:r>
          </w:p>
        </w:tc>
        <w:tc>
          <w:tcPr>
            <w:tcW w:w="2980" w:type="dxa"/>
            <w:tcBorders>
              <w:top w:val="nil"/>
              <w:left w:val="nil"/>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2, 8, 32</w:t>
            </w:r>
          </w:p>
        </w:tc>
      </w:tr>
      <w:tr w:rsidR="007C1A2B" w:rsidRPr="00280723" w:rsidTr="00D51111">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Number of Subcarriers</w:t>
            </w:r>
          </w:p>
        </w:tc>
        <w:tc>
          <w:tcPr>
            <w:tcW w:w="2980" w:type="dxa"/>
            <w:tcBorders>
              <w:top w:val="nil"/>
              <w:left w:val="nil"/>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12, [24]</w:t>
            </w:r>
          </w:p>
        </w:tc>
      </w:tr>
      <w:tr w:rsidR="007C1A2B" w:rsidRPr="00280723" w:rsidTr="00D51111">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frequency offset</w:t>
            </w:r>
          </w:p>
        </w:tc>
        <w:tc>
          <w:tcPr>
            <w:tcW w:w="2980" w:type="dxa"/>
            <w:tcBorders>
              <w:top w:val="nil"/>
              <w:left w:val="nil"/>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0Hz (AWGN); [50]Hz (TU1)</w:t>
            </w:r>
          </w:p>
        </w:tc>
      </w:tr>
      <w:tr w:rsidR="007C1A2B" w:rsidRPr="00280723" w:rsidTr="00D51111">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Propagation channels</w:t>
            </w:r>
          </w:p>
        </w:tc>
        <w:tc>
          <w:tcPr>
            <w:tcW w:w="2980" w:type="dxa"/>
            <w:tcBorders>
              <w:top w:val="nil"/>
              <w:left w:val="nil"/>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AWGN, TU1</w:t>
            </w:r>
          </w:p>
        </w:tc>
      </w:tr>
      <w:tr w:rsidR="007C1A2B" w:rsidRPr="00280723" w:rsidTr="00D51111">
        <w:trPr>
          <w:trHeight w:val="288"/>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 </w:t>
            </w:r>
          </w:p>
        </w:tc>
        <w:tc>
          <w:tcPr>
            <w:tcW w:w="2980" w:type="dxa"/>
            <w:tcBorders>
              <w:top w:val="nil"/>
              <w:left w:val="nil"/>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 </w:t>
            </w:r>
          </w:p>
        </w:tc>
      </w:tr>
      <w:tr w:rsidR="007C1A2B" w:rsidRPr="00280723" w:rsidTr="00D51111">
        <w:trPr>
          <w:trHeight w:val="576"/>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Detection performance</w:t>
            </w:r>
          </w:p>
        </w:tc>
        <w:tc>
          <w:tcPr>
            <w:tcW w:w="2980" w:type="dxa"/>
            <w:tcBorders>
              <w:top w:val="nil"/>
              <w:left w:val="nil"/>
              <w:bottom w:val="single" w:sz="4" w:space="0" w:color="auto"/>
              <w:right w:val="single" w:sz="4" w:space="0" w:color="auto"/>
            </w:tcBorders>
            <w:shd w:val="clear" w:color="000000" w:fill="DCE6F1"/>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 xml:space="preserve">Missed detection rate </w:t>
            </w:r>
            <w:r>
              <w:rPr>
                <w:rFonts w:ascii="Calibri" w:eastAsia="Times New Roman" w:hAnsi="Calibri"/>
                <w:color w:val="000000"/>
                <w:sz w:val="22"/>
                <w:szCs w:val="22"/>
                <w:lang w:val="en-US" w:eastAsia="zh-CN"/>
              </w:rPr>
              <w:t xml:space="preserve">(1%) </w:t>
            </w:r>
            <w:r w:rsidRPr="00280723">
              <w:rPr>
                <w:rFonts w:ascii="Calibri" w:eastAsia="Times New Roman" w:hAnsi="Calibri"/>
                <w:color w:val="000000"/>
                <w:sz w:val="22"/>
                <w:szCs w:val="22"/>
                <w:lang w:val="en-US" w:eastAsia="zh-CN"/>
              </w:rPr>
              <w:t>with false alarm rate</w:t>
            </w:r>
            <w:r>
              <w:rPr>
                <w:rFonts w:ascii="Calibri" w:eastAsia="Times New Roman" w:hAnsi="Calibri"/>
                <w:color w:val="000000"/>
                <w:sz w:val="22"/>
                <w:szCs w:val="22"/>
                <w:lang w:val="en-US" w:eastAsia="zh-CN"/>
              </w:rPr>
              <w:t xml:space="preserve"> (0.1%)</w:t>
            </w:r>
          </w:p>
        </w:tc>
        <w:bookmarkStart w:id="1" w:name="_GoBack"/>
        <w:bookmarkEnd w:id="1"/>
      </w:tr>
      <w:tr w:rsidR="007C1A2B" w:rsidRPr="00280723" w:rsidTr="00D51111">
        <w:trPr>
          <w:trHeight w:val="576"/>
          <w:jc w:val="center"/>
        </w:trPr>
        <w:tc>
          <w:tcPr>
            <w:tcW w:w="2740" w:type="dxa"/>
            <w:tcBorders>
              <w:top w:val="nil"/>
              <w:left w:val="single" w:sz="4" w:space="0" w:color="auto"/>
              <w:bottom w:val="single" w:sz="4" w:space="0" w:color="auto"/>
              <w:right w:val="single" w:sz="4" w:space="0" w:color="auto"/>
            </w:tcBorders>
            <w:shd w:val="clear" w:color="000000" w:fill="DCE6F1"/>
            <w:noWrap/>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Timing estimation</w:t>
            </w:r>
          </w:p>
        </w:tc>
        <w:tc>
          <w:tcPr>
            <w:tcW w:w="2980" w:type="dxa"/>
            <w:tcBorders>
              <w:top w:val="nil"/>
              <w:left w:val="nil"/>
              <w:bottom w:val="single" w:sz="4" w:space="0" w:color="auto"/>
              <w:right w:val="single" w:sz="4" w:space="0" w:color="auto"/>
            </w:tcBorders>
            <w:shd w:val="clear" w:color="000000" w:fill="DCE6F1"/>
            <w:vAlign w:val="bottom"/>
            <w:hideMark/>
          </w:tcPr>
          <w:p w:rsidR="007C1A2B" w:rsidRPr="00280723" w:rsidRDefault="007C1A2B" w:rsidP="00D51111">
            <w:pPr>
              <w:overflowPunct/>
              <w:autoSpaceDE/>
              <w:autoSpaceDN/>
              <w:adjustRightInd/>
              <w:spacing w:after="0"/>
              <w:jc w:val="left"/>
              <w:textAlignment w:val="auto"/>
              <w:rPr>
                <w:rFonts w:ascii="Calibri" w:eastAsia="Times New Roman" w:hAnsi="Calibri"/>
                <w:color w:val="000000"/>
                <w:sz w:val="22"/>
                <w:szCs w:val="22"/>
                <w:lang w:val="en-US" w:eastAsia="zh-CN"/>
              </w:rPr>
            </w:pPr>
            <w:r w:rsidRPr="00280723">
              <w:rPr>
                <w:rFonts w:ascii="Calibri" w:eastAsia="Times New Roman" w:hAnsi="Calibri"/>
                <w:color w:val="000000"/>
                <w:sz w:val="22"/>
                <w:szCs w:val="22"/>
                <w:lang w:val="en-US" w:eastAsia="zh-CN"/>
              </w:rPr>
              <w:t>Timing error probab</w:t>
            </w:r>
            <w:r>
              <w:rPr>
                <w:rFonts w:ascii="Calibri" w:eastAsia="Times New Roman" w:hAnsi="Calibri"/>
                <w:color w:val="000000"/>
                <w:sz w:val="22"/>
                <w:szCs w:val="22"/>
                <w:lang w:val="en-US" w:eastAsia="zh-CN"/>
              </w:rPr>
              <w:t>i</w:t>
            </w:r>
            <w:r w:rsidRPr="00280723">
              <w:rPr>
                <w:rFonts w:ascii="Calibri" w:eastAsia="Times New Roman" w:hAnsi="Calibri"/>
                <w:color w:val="000000"/>
                <w:sz w:val="22"/>
                <w:szCs w:val="22"/>
                <w:lang w:val="en-US" w:eastAsia="zh-CN"/>
              </w:rPr>
              <w:t>lity with limits 2.5us, [5us], [10us]</w:t>
            </w:r>
          </w:p>
        </w:tc>
      </w:tr>
    </w:tbl>
    <w:p w:rsidR="007C1A2B" w:rsidRDefault="007C1A2B" w:rsidP="00FD6867">
      <w:pPr>
        <w:rPr>
          <w:lang w:val="en-US"/>
        </w:rPr>
      </w:pPr>
    </w:p>
    <w:p w:rsidR="00806888" w:rsidRPr="00B72150" w:rsidRDefault="00806888" w:rsidP="00EC10E6">
      <w:pPr>
        <w:pStyle w:val="Heading1"/>
        <w:jc w:val="both"/>
        <w:rPr>
          <w:lang w:val="en-US"/>
        </w:rPr>
      </w:pPr>
      <w:r w:rsidRPr="00B72150">
        <w:rPr>
          <w:lang w:val="en-US"/>
        </w:rPr>
        <w:t>Reference</w:t>
      </w:r>
    </w:p>
    <w:p w:rsidR="009641C7" w:rsidRDefault="009641C7" w:rsidP="007C7874">
      <w:pPr>
        <w:spacing w:after="120"/>
        <w:ind w:left="720" w:hanging="720"/>
        <w:rPr>
          <w:lang w:val="en-US"/>
        </w:rPr>
      </w:pPr>
      <w:bookmarkStart w:id="2" w:name="_Ref430611759"/>
      <w:bookmarkStart w:id="3" w:name="_Ref431017336"/>
      <w:r>
        <w:rPr>
          <w:lang w:val="en-US"/>
        </w:rPr>
        <w:t>[1]</w:t>
      </w:r>
      <w:r>
        <w:rPr>
          <w:lang w:val="en-US"/>
        </w:rPr>
        <w:tab/>
        <w:t>R1-163593</w:t>
      </w:r>
      <w:r w:rsidR="00FC57F2">
        <w:rPr>
          <w:lang w:val="en-US"/>
        </w:rPr>
        <w:tab/>
        <w:t>“Introduction of NB-IoT”, Ericsson, RAN1 #84bis</w:t>
      </w:r>
    </w:p>
    <w:p w:rsidR="009641C7" w:rsidRDefault="009641C7" w:rsidP="007C7874">
      <w:pPr>
        <w:spacing w:after="120"/>
        <w:ind w:left="720" w:hanging="720"/>
        <w:rPr>
          <w:lang w:val="en-US"/>
        </w:rPr>
      </w:pPr>
      <w:r>
        <w:rPr>
          <w:lang w:val="en-US"/>
        </w:rPr>
        <w:t>[2]</w:t>
      </w:r>
      <w:r>
        <w:rPr>
          <w:lang w:val="en-US"/>
        </w:rPr>
        <w:tab/>
        <w:t>R1-163409</w:t>
      </w:r>
      <w:r w:rsidR="00FC57F2">
        <w:rPr>
          <w:lang w:val="en-US"/>
        </w:rPr>
        <w:tab/>
        <w:t>“Draft 36213 for NB-IoT”, RAN1 #84bis</w:t>
      </w:r>
    </w:p>
    <w:p w:rsidR="00FC57F2" w:rsidRDefault="00FC57F2" w:rsidP="007C7874">
      <w:pPr>
        <w:spacing w:after="120"/>
        <w:ind w:left="720" w:hanging="720"/>
        <w:rPr>
          <w:lang w:val="en-US"/>
        </w:rPr>
      </w:pPr>
      <w:r>
        <w:rPr>
          <w:lang w:val="en-US"/>
        </w:rPr>
        <w:t>[3]</w:t>
      </w:r>
      <w:r>
        <w:rPr>
          <w:lang w:val="en-US"/>
        </w:rPr>
        <w:tab/>
        <w:t>R2-163221</w:t>
      </w:r>
      <w:r>
        <w:rPr>
          <w:lang w:val="en-US"/>
        </w:rPr>
        <w:tab/>
        <w:t>“</w:t>
      </w:r>
      <w:r w:rsidRPr="006675E4">
        <w:rPr>
          <w:noProof/>
        </w:rPr>
        <w:t xml:space="preserve">36.331 Running CR to capture agreements on </w:t>
      </w:r>
      <w:r w:rsidRPr="006675E4">
        <w:rPr>
          <w:noProof/>
          <w:lang w:eastAsia="zh-CN"/>
        </w:rPr>
        <w:t>NB-I</w:t>
      </w:r>
      <w:r w:rsidRPr="006675E4">
        <w:rPr>
          <w:rFonts w:hint="eastAsia"/>
          <w:noProof/>
          <w:lang w:eastAsia="zh-CN"/>
        </w:rPr>
        <w:t>oT</w:t>
      </w:r>
      <w:r>
        <w:rPr>
          <w:lang w:val="en-US"/>
        </w:rPr>
        <w:t>”, Huawei, RAN2 NB-IoT ad hoc</w:t>
      </w:r>
    </w:p>
    <w:p w:rsidR="00574598" w:rsidRDefault="00574598" w:rsidP="007C7874">
      <w:pPr>
        <w:spacing w:after="120"/>
        <w:ind w:left="720" w:hanging="720"/>
        <w:rPr>
          <w:lang w:val="en-US"/>
        </w:rPr>
      </w:pPr>
      <w:r>
        <w:rPr>
          <w:lang w:val="en-US"/>
        </w:rPr>
        <w:t>[4]</w:t>
      </w:r>
      <w:r>
        <w:rPr>
          <w:lang w:val="en-US"/>
        </w:rPr>
        <w:tab/>
        <w:t>R4-16</w:t>
      </w:r>
      <w:r w:rsidR="004614DE">
        <w:rPr>
          <w:lang w:val="en-US"/>
        </w:rPr>
        <w:t>4350</w:t>
      </w:r>
      <w:r>
        <w:rPr>
          <w:lang w:val="en-US"/>
        </w:rPr>
        <w:tab/>
        <w:t>“</w:t>
      </w:r>
      <w:r w:rsidR="004614DE" w:rsidRPr="004614DE">
        <w:rPr>
          <w:lang w:val="en-US"/>
        </w:rPr>
        <w:t>Investigation on NPRACH performance</w:t>
      </w:r>
      <w:r>
        <w:rPr>
          <w:lang w:val="en-US"/>
        </w:rPr>
        <w:t>”</w:t>
      </w:r>
      <w:r w:rsidR="004614DE">
        <w:rPr>
          <w:lang w:val="en-US"/>
        </w:rPr>
        <w:t>, Nokia, RAN4 #79</w:t>
      </w:r>
    </w:p>
    <w:p w:rsidR="009641C7" w:rsidRDefault="009641C7" w:rsidP="007C7874">
      <w:pPr>
        <w:spacing w:after="120"/>
        <w:ind w:left="720" w:hanging="720"/>
        <w:rPr>
          <w:lang w:val="en-US"/>
        </w:rPr>
      </w:pPr>
    </w:p>
    <w:bookmarkEnd w:id="2"/>
    <w:bookmarkEnd w:id="3"/>
    <w:p w:rsidR="009641C7" w:rsidRDefault="009641C7" w:rsidP="007C7874">
      <w:pPr>
        <w:spacing w:after="120"/>
        <w:ind w:left="720" w:hanging="720"/>
        <w:rPr>
          <w:lang w:val="en-US"/>
        </w:rPr>
      </w:pPr>
    </w:p>
    <w:sectPr w:rsidR="009641C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B44" w:rsidRDefault="00C33B44" w:rsidP="0099206E">
      <w:r>
        <w:separator/>
      </w:r>
    </w:p>
  </w:endnote>
  <w:endnote w:type="continuationSeparator" w:id="0">
    <w:p w:rsidR="00C33B44" w:rsidRDefault="00C33B44"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B44" w:rsidRDefault="00C33B44" w:rsidP="0099206E">
      <w:r>
        <w:separator/>
      </w:r>
    </w:p>
  </w:footnote>
  <w:footnote w:type="continuationSeparator" w:id="0">
    <w:p w:rsidR="00C33B44" w:rsidRDefault="00C33B44"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A4267AE"/>
    <w:multiLevelType w:val="hybridMultilevel"/>
    <w:tmpl w:val="CF906DEE"/>
    <w:lvl w:ilvl="0" w:tplc="3DE4D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476061"/>
    <w:multiLevelType w:val="hybridMultilevel"/>
    <w:tmpl w:val="79565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3"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6"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2"/>
  </w:num>
  <w:num w:numId="3">
    <w:abstractNumId w:val="15"/>
  </w:num>
  <w:num w:numId="4">
    <w:abstractNumId w:val="18"/>
  </w:num>
  <w:num w:numId="5">
    <w:abstractNumId w:val="9"/>
  </w:num>
  <w:num w:numId="6">
    <w:abstractNumId w:val="29"/>
  </w:num>
  <w:num w:numId="7">
    <w:abstractNumId w:val="24"/>
  </w:num>
  <w:num w:numId="8">
    <w:abstractNumId w:val="33"/>
  </w:num>
  <w:num w:numId="9">
    <w:abstractNumId w:val="39"/>
  </w:num>
  <w:num w:numId="10">
    <w:abstractNumId w:val="20"/>
  </w:num>
  <w:num w:numId="11">
    <w:abstractNumId w:val="36"/>
  </w:num>
  <w:num w:numId="12">
    <w:abstractNumId w:val="17"/>
  </w:num>
  <w:num w:numId="13">
    <w:abstractNumId w:val="25"/>
  </w:num>
  <w:num w:numId="14">
    <w:abstractNumId w:val="27"/>
  </w:num>
  <w:num w:numId="15">
    <w:abstractNumId w:val="5"/>
  </w:num>
  <w:num w:numId="16">
    <w:abstractNumId w:val="34"/>
  </w:num>
  <w:num w:numId="17">
    <w:abstractNumId w:val="7"/>
  </w:num>
  <w:num w:numId="18">
    <w:abstractNumId w:val="10"/>
  </w:num>
  <w:num w:numId="19">
    <w:abstractNumId w:val="6"/>
  </w:num>
  <w:num w:numId="20">
    <w:abstractNumId w:val="26"/>
  </w:num>
  <w:num w:numId="21">
    <w:abstractNumId w:val="12"/>
  </w:num>
  <w:num w:numId="22">
    <w:abstractNumId w:val="2"/>
  </w:num>
  <w:num w:numId="23">
    <w:abstractNumId w:val="38"/>
  </w:num>
  <w:num w:numId="24">
    <w:abstractNumId w:val="3"/>
  </w:num>
  <w:num w:numId="25">
    <w:abstractNumId w:val="0"/>
  </w:num>
  <w:num w:numId="26">
    <w:abstractNumId w:val="8"/>
  </w:num>
  <w:num w:numId="27">
    <w:abstractNumId w:val="21"/>
  </w:num>
  <w:num w:numId="28">
    <w:abstractNumId w:val="23"/>
  </w:num>
  <w:num w:numId="29">
    <w:abstractNumId w:val="35"/>
  </w:num>
  <w:num w:numId="30">
    <w:abstractNumId w:val="14"/>
  </w:num>
  <w:num w:numId="31">
    <w:abstractNumId w:val="37"/>
  </w:num>
  <w:num w:numId="32">
    <w:abstractNumId w:val="30"/>
  </w:num>
  <w:num w:numId="33">
    <w:abstractNumId w:val="31"/>
  </w:num>
  <w:num w:numId="34">
    <w:abstractNumId w:val="13"/>
  </w:num>
  <w:num w:numId="35">
    <w:abstractNumId w:val="28"/>
  </w:num>
  <w:num w:numId="36">
    <w:abstractNumId w:val="1"/>
  </w:num>
  <w:num w:numId="37">
    <w:abstractNumId w:val="11"/>
  </w:num>
  <w:num w:numId="38">
    <w:abstractNumId w:val="40"/>
  </w:num>
  <w:num w:numId="39">
    <w:abstractNumId w:val="4"/>
  </w:num>
  <w:num w:numId="40">
    <w:abstractNumId w:val="22"/>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62E4"/>
    <w:rsid w:val="00146C6F"/>
    <w:rsid w:val="00150523"/>
    <w:rsid w:val="00152E6C"/>
    <w:rsid w:val="00155082"/>
    <w:rsid w:val="001573C8"/>
    <w:rsid w:val="00161235"/>
    <w:rsid w:val="0016303D"/>
    <w:rsid w:val="00170648"/>
    <w:rsid w:val="00170EC2"/>
    <w:rsid w:val="001712C3"/>
    <w:rsid w:val="00172B1C"/>
    <w:rsid w:val="00176B35"/>
    <w:rsid w:val="00176C30"/>
    <w:rsid w:val="00182A56"/>
    <w:rsid w:val="001843F8"/>
    <w:rsid w:val="00184D3C"/>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127"/>
    <w:rsid w:val="00203A11"/>
    <w:rsid w:val="002051CE"/>
    <w:rsid w:val="00206E2B"/>
    <w:rsid w:val="0020793A"/>
    <w:rsid w:val="002131AC"/>
    <w:rsid w:val="00213C2A"/>
    <w:rsid w:val="00215315"/>
    <w:rsid w:val="00216C7F"/>
    <w:rsid w:val="0021724B"/>
    <w:rsid w:val="00221416"/>
    <w:rsid w:val="00221779"/>
    <w:rsid w:val="00221895"/>
    <w:rsid w:val="00221BD9"/>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2804"/>
    <w:rsid w:val="00273F93"/>
    <w:rsid w:val="00274088"/>
    <w:rsid w:val="00280712"/>
    <w:rsid w:val="00280723"/>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DF"/>
    <w:rsid w:val="002B1502"/>
    <w:rsid w:val="002B1763"/>
    <w:rsid w:val="002B7B7F"/>
    <w:rsid w:val="002C21BA"/>
    <w:rsid w:val="002C452F"/>
    <w:rsid w:val="002C4CA0"/>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E53"/>
    <w:rsid w:val="00323484"/>
    <w:rsid w:val="0032368C"/>
    <w:rsid w:val="00323CBE"/>
    <w:rsid w:val="00323EEF"/>
    <w:rsid w:val="0032435B"/>
    <w:rsid w:val="003271FC"/>
    <w:rsid w:val="0033127B"/>
    <w:rsid w:val="00333864"/>
    <w:rsid w:val="0033744D"/>
    <w:rsid w:val="00337E10"/>
    <w:rsid w:val="00340FD7"/>
    <w:rsid w:val="003551D9"/>
    <w:rsid w:val="00355B87"/>
    <w:rsid w:val="003578F5"/>
    <w:rsid w:val="00357CED"/>
    <w:rsid w:val="0036270F"/>
    <w:rsid w:val="00362FBF"/>
    <w:rsid w:val="00363049"/>
    <w:rsid w:val="003634A8"/>
    <w:rsid w:val="003634D4"/>
    <w:rsid w:val="003639D3"/>
    <w:rsid w:val="00365E16"/>
    <w:rsid w:val="003662E5"/>
    <w:rsid w:val="0036653A"/>
    <w:rsid w:val="003666DA"/>
    <w:rsid w:val="00366ED2"/>
    <w:rsid w:val="003675B1"/>
    <w:rsid w:val="003713AB"/>
    <w:rsid w:val="0037238C"/>
    <w:rsid w:val="00374D23"/>
    <w:rsid w:val="003751B1"/>
    <w:rsid w:val="00376F13"/>
    <w:rsid w:val="00377FDE"/>
    <w:rsid w:val="00380423"/>
    <w:rsid w:val="003809A3"/>
    <w:rsid w:val="0038232A"/>
    <w:rsid w:val="00385AF7"/>
    <w:rsid w:val="00390461"/>
    <w:rsid w:val="003906E2"/>
    <w:rsid w:val="00395770"/>
    <w:rsid w:val="00395ADA"/>
    <w:rsid w:val="003972A0"/>
    <w:rsid w:val="003A02A4"/>
    <w:rsid w:val="003A2A39"/>
    <w:rsid w:val="003A2C89"/>
    <w:rsid w:val="003A2E1F"/>
    <w:rsid w:val="003A7391"/>
    <w:rsid w:val="003A7AB0"/>
    <w:rsid w:val="003B38F5"/>
    <w:rsid w:val="003B60AB"/>
    <w:rsid w:val="003C3DAA"/>
    <w:rsid w:val="003C6184"/>
    <w:rsid w:val="003C6804"/>
    <w:rsid w:val="003C7562"/>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2A75"/>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714"/>
    <w:rsid w:val="0045230E"/>
    <w:rsid w:val="0045398D"/>
    <w:rsid w:val="00454BCD"/>
    <w:rsid w:val="004564F4"/>
    <w:rsid w:val="004568B9"/>
    <w:rsid w:val="004614DE"/>
    <w:rsid w:val="00463497"/>
    <w:rsid w:val="004641F1"/>
    <w:rsid w:val="00464996"/>
    <w:rsid w:val="004677A9"/>
    <w:rsid w:val="004714B7"/>
    <w:rsid w:val="00471C85"/>
    <w:rsid w:val="004747C6"/>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4AD5"/>
    <w:rsid w:val="004A024C"/>
    <w:rsid w:val="004A03D0"/>
    <w:rsid w:val="004A51F5"/>
    <w:rsid w:val="004A5F75"/>
    <w:rsid w:val="004B2294"/>
    <w:rsid w:val="004B54AC"/>
    <w:rsid w:val="004B5E88"/>
    <w:rsid w:val="004B7373"/>
    <w:rsid w:val="004B79F6"/>
    <w:rsid w:val="004C0C91"/>
    <w:rsid w:val="004C0F6A"/>
    <w:rsid w:val="004C2E84"/>
    <w:rsid w:val="004C3FF3"/>
    <w:rsid w:val="004D04A9"/>
    <w:rsid w:val="004D1D2E"/>
    <w:rsid w:val="004D24BE"/>
    <w:rsid w:val="004D5B9A"/>
    <w:rsid w:val="004D65FF"/>
    <w:rsid w:val="004D7669"/>
    <w:rsid w:val="004E1D34"/>
    <w:rsid w:val="004E5382"/>
    <w:rsid w:val="004E74D2"/>
    <w:rsid w:val="004E7D32"/>
    <w:rsid w:val="004F4EA5"/>
    <w:rsid w:val="004F53C8"/>
    <w:rsid w:val="004F701B"/>
    <w:rsid w:val="004F794F"/>
    <w:rsid w:val="004F7B25"/>
    <w:rsid w:val="00501EB6"/>
    <w:rsid w:val="00504B31"/>
    <w:rsid w:val="005079C6"/>
    <w:rsid w:val="00511100"/>
    <w:rsid w:val="0051260A"/>
    <w:rsid w:val="00513168"/>
    <w:rsid w:val="005145EB"/>
    <w:rsid w:val="00520448"/>
    <w:rsid w:val="00520B92"/>
    <w:rsid w:val="0052229F"/>
    <w:rsid w:val="005232D2"/>
    <w:rsid w:val="005243BB"/>
    <w:rsid w:val="005267B5"/>
    <w:rsid w:val="0052707C"/>
    <w:rsid w:val="005275CA"/>
    <w:rsid w:val="00527FAC"/>
    <w:rsid w:val="0053443B"/>
    <w:rsid w:val="005368DF"/>
    <w:rsid w:val="00536F07"/>
    <w:rsid w:val="0053704B"/>
    <w:rsid w:val="00540AF3"/>
    <w:rsid w:val="00543F57"/>
    <w:rsid w:val="005468B4"/>
    <w:rsid w:val="0054735E"/>
    <w:rsid w:val="00547D6A"/>
    <w:rsid w:val="0055096E"/>
    <w:rsid w:val="00551A87"/>
    <w:rsid w:val="00553F90"/>
    <w:rsid w:val="00553FA2"/>
    <w:rsid w:val="00554074"/>
    <w:rsid w:val="0055499F"/>
    <w:rsid w:val="005551B4"/>
    <w:rsid w:val="00555351"/>
    <w:rsid w:val="00555DEB"/>
    <w:rsid w:val="00556532"/>
    <w:rsid w:val="0055699C"/>
    <w:rsid w:val="0055757F"/>
    <w:rsid w:val="00560617"/>
    <w:rsid w:val="00563878"/>
    <w:rsid w:val="00563EF0"/>
    <w:rsid w:val="00564A3B"/>
    <w:rsid w:val="00566561"/>
    <w:rsid w:val="00572630"/>
    <w:rsid w:val="005736BF"/>
    <w:rsid w:val="00573926"/>
    <w:rsid w:val="00574598"/>
    <w:rsid w:val="00576392"/>
    <w:rsid w:val="005777DB"/>
    <w:rsid w:val="005806AC"/>
    <w:rsid w:val="00580888"/>
    <w:rsid w:val="00582658"/>
    <w:rsid w:val="005870AF"/>
    <w:rsid w:val="0058728C"/>
    <w:rsid w:val="005923FB"/>
    <w:rsid w:val="00593093"/>
    <w:rsid w:val="0059616C"/>
    <w:rsid w:val="00596274"/>
    <w:rsid w:val="00596DE5"/>
    <w:rsid w:val="005A21E6"/>
    <w:rsid w:val="005A5274"/>
    <w:rsid w:val="005A5897"/>
    <w:rsid w:val="005A6336"/>
    <w:rsid w:val="005A6DDF"/>
    <w:rsid w:val="005B2DBE"/>
    <w:rsid w:val="005B31F1"/>
    <w:rsid w:val="005B3306"/>
    <w:rsid w:val="005B4C8C"/>
    <w:rsid w:val="005B7C4A"/>
    <w:rsid w:val="005C15C6"/>
    <w:rsid w:val="005C2756"/>
    <w:rsid w:val="005C2FFE"/>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0880"/>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45B"/>
    <w:rsid w:val="006D07C8"/>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06D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6BAF"/>
    <w:rsid w:val="007C00B9"/>
    <w:rsid w:val="007C0AB3"/>
    <w:rsid w:val="007C0D85"/>
    <w:rsid w:val="007C0F44"/>
    <w:rsid w:val="007C0FB6"/>
    <w:rsid w:val="007C1257"/>
    <w:rsid w:val="007C1A2B"/>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6A1C"/>
    <w:rsid w:val="007F7B1E"/>
    <w:rsid w:val="00800EF6"/>
    <w:rsid w:val="00801A82"/>
    <w:rsid w:val="008022F0"/>
    <w:rsid w:val="00802E70"/>
    <w:rsid w:val="00805B48"/>
    <w:rsid w:val="0080686C"/>
    <w:rsid w:val="00806888"/>
    <w:rsid w:val="00806C8A"/>
    <w:rsid w:val="00806D1A"/>
    <w:rsid w:val="0081081C"/>
    <w:rsid w:val="00810A11"/>
    <w:rsid w:val="00813D8A"/>
    <w:rsid w:val="008150F4"/>
    <w:rsid w:val="00815EFB"/>
    <w:rsid w:val="008162F1"/>
    <w:rsid w:val="00820C5E"/>
    <w:rsid w:val="008215CA"/>
    <w:rsid w:val="00821F0B"/>
    <w:rsid w:val="00821F9B"/>
    <w:rsid w:val="008224B1"/>
    <w:rsid w:val="008228BB"/>
    <w:rsid w:val="008237F3"/>
    <w:rsid w:val="00824C0F"/>
    <w:rsid w:val="00826899"/>
    <w:rsid w:val="00830A20"/>
    <w:rsid w:val="00831AA0"/>
    <w:rsid w:val="0083269C"/>
    <w:rsid w:val="00832F3D"/>
    <w:rsid w:val="00833F2F"/>
    <w:rsid w:val="0083544B"/>
    <w:rsid w:val="00837562"/>
    <w:rsid w:val="0083760A"/>
    <w:rsid w:val="00837DF2"/>
    <w:rsid w:val="008404B2"/>
    <w:rsid w:val="00845520"/>
    <w:rsid w:val="00850C2A"/>
    <w:rsid w:val="008515A9"/>
    <w:rsid w:val="00854909"/>
    <w:rsid w:val="00856989"/>
    <w:rsid w:val="0085765D"/>
    <w:rsid w:val="0085775F"/>
    <w:rsid w:val="008578E7"/>
    <w:rsid w:val="00860D5D"/>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4E10"/>
    <w:rsid w:val="008A7A21"/>
    <w:rsid w:val="008B09EC"/>
    <w:rsid w:val="008B1569"/>
    <w:rsid w:val="008B17C0"/>
    <w:rsid w:val="008B1E4B"/>
    <w:rsid w:val="008B3298"/>
    <w:rsid w:val="008B5B66"/>
    <w:rsid w:val="008B7593"/>
    <w:rsid w:val="008B7723"/>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37AD"/>
    <w:rsid w:val="009641C7"/>
    <w:rsid w:val="009648A3"/>
    <w:rsid w:val="00964A94"/>
    <w:rsid w:val="00966060"/>
    <w:rsid w:val="00966FC5"/>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0BE7"/>
    <w:rsid w:val="009E22B5"/>
    <w:rsid w:val="009E38E5"/>
    <w:rsid w:val="009E450D"/>
    <w:rsid w:val="009E5C50"/>
    <w:rsid w:val="009F38FF"/>
    <w:rsid w:val="009F5F42"/>
    <w:rsid w:val="009F7536"/>
    <w:rsid w:val="00A009B7"/>
    <w:rsid w:val="00A03B29"/>
    <w:rsid w:val="00A03B88"/>
    <w:rsid w:val="00A047E6"/>
    <w:rsid w:val="00A05970"/>
    <w:rsid w:val="00A10C74"/>
    <w:rsid w:val="00A10E91"/>
    <w:rsid w:val="00A11671"/>
    <w:rsid w:val="00A1251C"/>
    <w:rsid w:val="00A12712"/>
    <w:rsid w:val="00A13317"/>
    <w:rsid w:val="00A13968"/>
    <w:rsid w:val="00A151F4"/>
    <w:rsid w:val="00A15BF9"/>
    <w:rsid w:val="00A16C45"/>
    <w:rsid w:val="00A20CB9"/>
    <w:rsid w:val="00A21DF3"/>
    <w:rsid w:val="00A22A98"/>
    <w:rsid w:val="00A24007"/>
    <w:rsid w:val="00A265EF"/>
    <w:rsid w:val="00A2730D"/>
    <w:rsid w:val="00A300BB"/>
    <w:rsid w:val="00A331AE"/>
    <w:rsid w:val="00A33C3A"/>
    <w:rsid w:val="00A34203"/>
    <w:rsid w:val="00A35529"/>
    <w:rsid w:val="00A36A32"/>
    <w:rsid w:val="00A376A2"/>
    <w:rsid w:val="00A4352D"/>
    <w:rsid w:val="00A43E6F"/>
    <w:rsid w:val="00A446B1"/>
    <w:rsid w:val="00A47222"/>
    <w:rsid w:val="00A4738C"/>
    <w:rsid w:val="00A50A38"/>
    <w:rsid w:val="00A5258F"/>
    <w:rsid w:val="00A526C5"/>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331D"/>
    <w:rsid w:val="00AA6815"/>
    <w:rsid w:val="00AA68FD"/>
    <w:rsid w:val="00AA71CA"/>
    <w:rsid w:val="00AB0349"/>
    <w:rsid w:val="00AB0508"/>
    <w:rsid w:val="00AB1067"/>
    <w:rsid w:val="00AB1142"/>
    <w:rsid w:val="00AB13D7"/>
    <w:rsid w:val="00AB14E5"/>
    <w:rsid w:val="00AB5E38"/>
    <w:rsid w:val="00AB7C3A"/>
    <w:rsid w:val="00AC0B37"/>
    <w:rsid w:val="00AC28F0"/>
    <w:rsid w:val="00AC3D79"/>
    <w:rsid w:val="00AC4131"/>
    <w:rsid w:val="00AC4470"/>
    <w:rsid w:val="00AC45CF"/>
    <w:rsid w:val="00AC747F"/>
    <w:rsid w:val="00AC7851"/>
    <w:rsid w:val="00AC7916"/>
    <w:rsid w:val="00AD0509"/>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DA1"/>
    <w:rsid w:val="00B66ADC"/>
    <w:rsid w:val="00B67F4A"/>
    <w:rsid w:val="00B701CB"/>
    <w:rsid w:val="00B70815"/>
    <w:rsid w:val="00B70A6D"/>
    <w:rsid w:val="00B71B99"/>
    <w:rsid w:val="00B7213D"/>
    <w:rsid w:val="00B72150"/>
    <w:rsid w:val="00B72A0F"/>
    <w:rsid w:val="00B733BB"/>
    <w:rsid w:val="00B76FAA"/>
    <w:rsid w:val="00B77290"/>
    <w:rsid w:val="00B77CDD"/>
    <w:rsid w:val="00B77EC2"/>
    <w:rsid w:val="00B80B2E"/>
    <w:rsid w:val="00B81E08"/>
    <w:rsid w:val="00B82A14"/>
    <w:rsid w:val="00B83CB0"/>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4ACF"/>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3B44"/>
    <w:rsid w:val="00C35163"/>
    <w:rsid w:val="00C35B65"/>
    <w:rsid w:val="00C37CF9"/>
    <w:rsid w:val="00C43E41"/>
    <w:rsid w:val="00C45F3B"/>
    <w:rsid w:val="00C51927"/>
    <w:rsid w:val="00C54A1E"/>
    <w:rsid w:val="00C55330"/>
    <w:rsid w:val="00C56852"/>
    <w:rsid w:val="00C56CCD"/>
    <w:rsid w:val="00C57758"/>
    <w:rsid w:val="00C60B60"/>
    <w:rsid w:val="00C62060"/>
    <w:rsid w:val="00C625D4"/>
    <w:rsid w:val="00C635F7"/>
    <w:rsid w:val="00C66061"/>
    <w:rsid w:val="00C67680"/>
    <w:rsid w:val="00C67A01"/>
    <w:rsid w:val="00C70F59"/>
    <w:rsid w:val="00C70FD6"/>
    <w:rsid w:val="00C73B2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E61"/>
    <w:rsid w:val="00CB5F25"/>
    <w:rsid w:val="00CC0A1F"/>
    <w:rsid w:val="00CC0C80"/>
    <w:rsid w:val="00CC2975"/>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1481"/>
    <w:rsid w:val="00D2149F"/>
    <w:rsid w:val="00D21B21"/>
    <w:rsid w:val="00D24C5C"/>
    <w:rsid w:val="00D25E88"/>
    <w:rsid w:val="00D26DBB"/>
    <w:rsid w:val="00D301F5"/>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5269"/>
    <w:rsid w:val="00D67353"/>
    <w:rsid w:val="00D673DB"/>
    <w:rsid w:val="00D67ED3"/>
    <w:rsid w:val="00D703AF"/>
    <w:rsid w:val="00D70BDB"/>
    <w:rsid w:val="00D71203"/>
    <w:rsid w:val="00D71FDB"/>
    <w:rsid w:val="00D72875"/>
    <w:rsid w:val="00D75244"/>
    <w:rsid w:val="00D75751"/>
    <w:rsid w:val="00D816DB"/>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7032"/>
    <w:rsid w:val="00DD014C"/>
    <w:rsid w:val="00DD4A2D"/>
    <w:rsid w:val="00DD50A3"/>
    <w:rsid w:val="00DD6F76"/>
    <w:rsid w:val="00DE04BA"/>
    <w:rsid w:val="00DE0F49"/>
    <w:rsid w:val="00DE0F94"/>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5879"/>
    <w:rsid w:val="00E26B02"/>
    <w:rsid w:val="00E278AF"/>
    <w:rsid w:val="00E32582"/>
    <w:rsid w:val="00E34130"/>
    <w:rsid w:val="00E34B36"/>
    <w:rsid w:val="00E40551"/>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86B6B"/>
    <w:rsid w:val="00E9150D"/>
    <w:rsid w:val="00E9197C"/>
    <w:rsid w:val="00E9274E"/>
    <w:rsid w:val="00E9425A"/>
    <w:rsid w:val="00E944AE"/>
    <w:rsid w:val="00E94A42"/>
    <w:rsid w:val="00E95F9D"/>
    <w:rsid w:val="00E97A59"/>
    <w:rsid w:val="00EA105F"/>
    <w:rsid w:val="00EA1372"/>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C0165"/>
    <w:rsid w:val="00EC10E6"/>
    <w:rsid w:val="00EC20CD"/>
    <w:rsid w:val="00EC4B5B"/>
    <w:rsid w:val="00EC75B6"/>
    <w:rsid w:val="00EC7C71"/>
    <w:rsid w:val="00ED088C"/>
    <w:rsid w:val="00ED0AD5"/>
    <w:rsid w:val="00ED1271"/>
    <w:rsid w:val="00ED278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75E"/>
    <w:rsid w:val="00F13F8B"/>
    <w:rsid w:val="00F170F5"/>
    <w:rsid w:val="00F177C5"/>
    <w:rsid w:val="00F20ACE"/>
    <w:rsid w:val="00F21753"/>
    <w:rsid w:val="00F23600"/>
    <w:rsid w:val="00F23A95"/>
    <w:rsid w:val="00F24743"/>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42A7"/>
    <w:rsid w:val="00FD44E1"/>
    <w:rsid w:val="00FD6867"/>
    <w:rsid w:val="00FE08F7"/>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link w:val="B10"/>
    <w:uiPriority w:val="99"/>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 w:type="character" w:customStyle="1" w:styleId="B10">
    <w:name w:val="B1 (文字)"/>
    <w:link w:val="B1"/>
    <w:uiPriority w:val="99"/>
    <w:locked/>
    <w:rsid w:val="00C56CC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7473">
      <w:bodyDiv w:val="1"/>
      <w:marLeft w:val="0"/>
      <w:marRight w:val="0"/>
      <w:marTop w:val="0"/>
      <w:marBottom w:val="0"/>
      <w:divBdr>
        <w:top w:val="none" w:sz="0" w:space="0" w:color="auto"/>
        <w:left w:val="none" w:sz="0" w:space="0" w:color="auto"/>
        <w:bottom w:val="none" w:sz="0" w:space="0" w:color="auto"/>
        <w:right w:val="none" w:sz="0" w:space="0" w:color="auto"/>
      </w:divBdr>
    </w:div>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1981147">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714255C8-3C92-452D-87EF-D785C3E7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7026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1. (Nokia - US/Arlington Heights)</cp:lastModifiedBy>
  <cp:revision>2</cp:revision>
  <cp:lastPrinted>2001-04-23T16:30:00Z</cp:lastPrinted>
  <dcterms:created xsi:type="dcterms:W3CDTF">2016-05-13T16:00:00Z</dcterms:created>
  <dcterms:modified xsi:type="dcterms:W3CDTF">2016-05-13T16:00:00Z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